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b7e08fcdbbb64ccf" /></Relationships>
</file>

<file path=word/document.xml><?xml version="1.0" encoding="utf-8"?>
<w:document xmlns:w="http://schemas.openxmlformats.org/wordprocessingml/2006/main">
  <w:body>
    <w:tbl>
      <w:tblPr>
        <w:tblW w:w="9000" w:type="dxa"/>
        <w:tblBorders>
          <w:top w:val="nil"/>
          <w:bottom w:val="nil"/>
          <w:left w:val="nil"/>
          <w:right w:val="nil"/>
          <w:insideH w:val="nil"/>
          <w:insideV w:val="nil"/>
        </w:tblBorders>
        <w:tblCellSpacing w:w="60" w:type="dxa"/>
        <w:shd w:val="clear" w:color="auto" w:fill="E7F0F9"/>
      </w:tblPr>
      <w:tblGrid>
        <w:gridCol w:w="1200"/>
        <w:gridCol w:w="4500"/>
      </w:tblGrid>
      <w:tr>
        <w:tc>
          <w:tcPr>
            <w:tcW w:w="1200" w:type="pct"/>
            <w:shd w:val="clear" w:color="auto" w:fill="E7F0F9"/>
          </w:tcPr>
          <w:p>
            <w:pPr>
              <w:spacing w:before="0" w:after="0" w:line="240" w:lineRule="auto"/>
              <w:jc w:val="left"/>
            </w:pPr>
            <w:r>
              <w:rPr>
                <w:b/>
              </w:rPr>
              <w:t xml:space="preserve">RKP broj</w:t>
            </w:r>
          </w:p>
        </w:tc>
        <w:tc>
          <w:tcPr>
            <w:shd w:val="clear" w:color="auto" w:fill="E7F0F9"/>
          </w:tcPr>
          <w:p>
            <w:pPr>
              <w:spacing w:before="0" w:after="0" w:line="240" w:lineRule="auto"/>
              <w:jc w:val="left"/>
            </w:pPr>
            <w:r>
              <w:t xml:space="preserve">34442</w:t>
            </w:r>
          </w:p>
        </w:tc>
      </w:tr>
      <w:tr>
        <w:tc>
          <w:tcPr>
            <w:tcW w:w="1200" w:type="pct"/>
            <w:shd w:val="clear" w:color="auto" w:fill="E7F0F9"/>
          </w:tcPr>
          <w:p>
            <w:pPr>
              <w:spacing w:before="0" w:after="0" w:line="240" w:lineRule="auto"/>
              <w:jc w:val="left"/>
            </w:pPr>
            <w:r>
              <w:rPr>
                <w:b/>
              </w:rPr>
              <w:t xml:space="preserve">Naziv obveznika</w:t>
            </w:r>
          </w:p>
        </w:tc>
        <w:tc>
          <w:tcPr>
            <w:shd w:val="clear" w:color="auto" w:fill="E7F0F9"/>
          </w:tcPr>
          <w:p>
            <w:pPr>
              <w:spacing w:before="0" w:after="0" w:line="240" w:lineRule="auto"/>
              <w:jc w:val="left"/>
            </w:pPr>
            <w:r>
              <w:t xml:space="preserve">GRAD ROVINJ - ROVIGNO</w:t>
            </w:r>
          </w:p>
        </w:tc>
      </w:tr>
      <w:tr>
        <w:tc>
          <w:tcPr>
            <w:tcW w:w="1200" w:type="pct"/>
            <w:shd w:val="clear" w:color="auto" w:fill="E7F0F9"/>
          </w:tcPr>
          <w:p>
            <w:pPr>
              <w:spacing w:before="0" w:after="0" w:line="240" w:lineRule="auto"/>
              <w:jc w:val="left"/>
            </w:pPr>
            <w:r>
              <w:rPr>
                <w:b/>
              </w:rPr>
              <w:t xml:space="preserve">Razina</w:t>
            </w:r>
          </w:p>
        </w:tc>
        <w:tc>
          <w:tcPr>
            <w:shd w:val="clear" w:color="auto" w:fill="E7F0F9"/>
          </w:tcPr>
          <w:p>
            <w:pPr>
              <w:spacing w:before="0" w:after="0" w:line="240" w:lineRule="auto"/>
              <w:jc w:val="left"/>
            </w:pPr>
            <w:r>
              <w:t xml:space="preserve">22</w:t>
            </w:r>
          </w:p>
        </w:tc>
      </w:tr>
    </w:tbl>
    <w:p>
      <w:r>
        <w:br/>
      </w:r>
    </w:p>
    <w:p>
      <w:pPr>
        <w:jc w:val="center"/>
        <w:pStyle w:val="Normal"/>
        <w:spacing w:line="240" w:lineRule="auto"/>
      </w:pPr>
      <w:r>
        <w:rPr>
          <w:b/>
          <w:sz w:val="28"/>
          <w:rFonts w:ascii="Times New Roman" w:hAnsi="Times New Roman"/>
        </w:rPr>
        <w:t xml:space="preserve">BILJEŠKE UZ FINANCIJSKE IZVJEŠTAJE</w:t>
      </w:r>
    </w:p>
    <w:p>
      <w:pPr>
        <w:jc w:val="center"/>
        <w:pStyle w:val="Normal"/>
        <w:spacing w:line="240" w:lineRule="auto"/>
      </w:pPr>
      <w:r>
        <w:rPr>
          <w:b/>
          <w:sz w:val="28"/>
          <w:rFonts w:ascii="Times New Roman" w:hAnsi="Times New Roman"/>
        </w:rPr>
        <w:t xml:space="preserve">ZA RAZDOBLJE</w:t>
      </w:r>
    </w:p>
    <w:p>
      <w:pPr>
        <w:jc w:val="center"/>
        <w:pStyle w:val="Normal"/>
        <w:spacing w:line="240" w:lineRule="auto"/>
      </w:pPr>
      <w:r>
        <w:rPr>
          <w:b/>
          <w:sz w:val="28"/>
          <w:rFonts w:ascii="Times New Roman" w:hAnsi="Times New Roman"/>
        </w:rPr>
        <w:t xml:space="preserve">I - VI 2026.</w:t>
      </w:r>
    </w:p>
    <w:p/>
    <w:p>
      <w:pPr>
        <w:jc w:val="center"/>
        <w:pStyle w:val="Normal"/>
        <w:spacing w:line="240" w:lineRule="auto"/>
        <w:keepNext/>
      </w:pPr>
      <w:r>
        <w:rPr>
          <w:b/>
          <w:sz w:val="28"/>
          <w:rFonts w:ascii="Times New Roman" w:hAnsi="Times New Roman"/>
        </w:rPr>
        <w:t xml:space="preserve">Izvještaj o prihodima i rashodima, primicima i izdacima</w:t>
      </w:r>
    </w:p>
    <w:p>
      <w:pPr>
        <w:jc w:val="center"/>
        <w:pStyle w:val="Normal"/>
        <w:spacing w:line="240" w:lineRule="auto"/>
        <w:keepNext/>
      </w:pPr>
      <w:r>
        <w:rPr>
          <w:sz w:val="28"/>
          <w:rFonts w:ascii="Times New Roman" w:hAnsi="Times New Roman"/>
        </w:rPr>
        <w:t xml:space="preserve">Bilješka 1.</w:t>
      </w:r>
    </w:p>
    <w:tbl>
      <w:tblPr>
        <w:tblBorders>
          <w:top w:val="single" w:color="BABABA" w:sz="12"/>
          <w:bottom w:val="single" w:color="BABABA" w:sz="12"/>
          <w:left w:val="single" w:color="BABABA" w:sz="12"/>
          <w:right w:val="single" w:color="BABABA" w:sz="12"/>
          <w:insideH w:val="single" w:color="BABABA" w:sz="8"/>
          <w:insideV w:val="single" w:color="DADADA" w:sz="8"/>
        </w:tblBorders>
        <w:tblW w:w="0" w:type="auto"/>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POSLOVANJA (šifre 61+62+63+64+65+66+67+68)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11.620.762,09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12.829.529,18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110,4</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POSLOVANJA (šifre 31+32+34+35+36+37+38)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10.648.657,16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11.221.875,39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105,4</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VIŠAK PRIHODA POSLOVANJA (šifre 6-Z005)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X001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972.104,93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1.607.653,79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165,4</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prodaje nefinancijske imovine (šifre 71+72+73+74)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1.273.557,28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645.218,72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50,7</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nabavu nefinancijske imovine (šifre 41+42+43+44+45)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5.466.918,07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6.189.634,27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113,2</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MANJAK PRIHODA OD NEFINANCIJSKE IMOVINE (šifre 4-7)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Y002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4.193.360,79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5.544.415,55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132,2</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Primici od financijske imovine i zaduživanja (šifre 81+82+83+84+85)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Izdaci za financijsku imovinu i otplate zajmova (šifre 51+52+53+54+55)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19.912,24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25.719,43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129,2</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MANJAK PRIMITAKA OD FINANCIJSKE IMOVINE I ZADUŽIVANJA (šifre 5-8)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Y003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19.912,24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25.719,43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129,2</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MANJAK PRIHODA I PRIMITAKA (šifre Y345-X678)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Y005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3.241.168,10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3.962.481,19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122,3</w:t>
            </w:r>
          </w:p>
        </w:tc>
      </w:tr>
    </w:tbl>
    <w:p>
      <w:pPr>
        <w:spacing w:before="0" w:after="0"/>
      </w:pPr>
    </w:p>
    <w:p>
      <w:r>
        <w:t xml:space="preserve">U razdoblju 1-6/2026. prihodi poslovanja bilježe porast od 1.208.767,09 EUR odnosno +10,40% u odnosu na isto razdoblje 2025.godine. Što se tiče prihoda, bez obzira na savršenu kronološku interpolaciju, radi se o relativno manjem promatranom razdoblju (ponajviše jer je gospodarstvo grada uglavnom bazirano na turizmu i popratnih djelatnosti kao što je ugostiteljstvo i trgovina, a to se uglavnom realizira u ljetnim mjesecima odnosno u drugoj polovici godine) te će rezultati ostvareni za 9 mjeseci biti prvi pravi pokazatelj gospodarskih kretanja u gradu, regiji i šire sa kvalitetnom mogućnosšću poredbe sa pripadajućim razdobljem prošle godine. Najveći porast kod prihoda poslovanja bilježi se kod poreza na dohodak od nesamostalnog rada (koji je rezultat veće gospodarske djelatnosti ali je tu zamjetan i utjecaj inflatornih kretanja koji utječu na povećanje mase poreza) te poreza na dohodak od imovine i imovinskih prava (+238.374,17 odnosno +35,87% što možemo protumačiti kroz povećanje najma i zakupa nekretnina na području grada) kao i povremenih poreza na imovinu zbog, još uvijek, konstantne dinamičnosti na tržištu nekretnina tijekom prve polovice 2026.godine (porez na promet nekretnina ostvaren za 178.561,27 EUR odnosno +17,00% više nego u promatranom razdoblju prethodne godine). Ipak, to može biti plod i samo jedne ili manji broj „jačih“ prodaja nekretnina ostvarenih u ovom razdoblju te je ovakav podatak uvijek potrebno uzeti sa određenom dozom rezerve te prethodno suvislo analizirati odnosno usporediti podatke.     </w:t>
      </w:r>
    </w:p>
    <w:p>
      <w:r>
        <w:t xml:space="preserve">Veći je prihod za sredstva dobivena iz državnog proračuna (EU sredstva) za kapitalnu pomoć za rekonstrukciju Oš J.Dobrile (+1.578.496,22), a veći je prihod i od kapitalnih pomoći iz državnog proračuna za sanaciju dvorane Valbruna (405.000,00).</w:t>
      </w:r>
    </w:p>
    <w:p>
      <w:r>
        <w:t xml:space="preserve">S druge strane imamo smanjenje ostvarenja svih komunalnih prihoda, obuhvaćeih u skupinama računa 64 i 65,  i to za procijenjeno minimalno 2.000.000,00 Eur ali je razlog tomu isključivo tehničke prirode. Naime, od 1.siječnja 2026. je cjelovit sustav proračuna pokriven softverski sa novim programom RIZNICA ZIO uslijed čega je došlo do neusklađenosti i zastoja odnosno višemjesečnog kašnjenja kod izdavanja računa i uplatnica za navedene komunalne prihode (komunalna naknada i doprinos, NUV, zakupnina za poslovne prostore,..). Tijekom mjeseca lipnja se započelo sa fakturiranjem i naplatom komunalne naknade i NUV te će se u dogledno vrijeme situacija oko navedenog normalizirati.</w:t>
      </w:r>
    </w:p>
    <w:p>
      <w:r>
        <w:t xml:space="preserve">I kod ukupnih prihoda od prodaje nefinancijske imovine je došlo do pada ostvarenja i to za 628.338,56 Eur (-49,34%). Razlog je u otprilike sličnom apsolutnom obujmu smanjenja naplate prihoda od prodaje građevinskog zemljišta što je najčešće posljedica razne dinamike postupka natječaja, rokova i svega što je u tome sadržano.</w:t>
      </w:r>
    </w:p>
    <w:p>
      <w:r>
        <w:t xml:space="preserve">Suzdržan je i obim povećanja izvršenja rashoda poslovanja: ukupno se radi o povećanju od oko 5,38 % odnosno 573.218,23 Eur. Promjene u izvršenju kod rashoda skupine 31 (bruto plaće) i 32 (materijalni rashodi) nisu značajnije prirode i iznose +5,38% odnosno -0,5%. Ipak, kod navedenih materijalnih rashoda (skupina računa 32) treba spomenuti smanjenje izvršenja kod usluga tekućeg i investicijskog održavanja (-428.636,43 Eur odnosno -32,64%); uzrok tome je da je tijekom početka prošle godine došlo do jačih zahvata investicijskog održavanja na prometnicama uslijed čega je za prvih 6 mjeseci 2025.godine bilo utrošeno 543.135,57 Eur. Od značajnijih povećanja na istoj skupini (materijalni rashodi) napominjemo komunalne usluge (+47,82% odnosno +103.446,63) sa značajnim udjelom povećanja rashoda na računu 32342 - Iznošenje i odvoz smeća (-77.101,22) te intelektualne i osobne usluge (+267.622,12 odnosno +148,18%) sa podjednakim obimom povećanja rashoda kod autorskih honorara, ugovora o djelu, odvjetničkih usluga te usluga vještačenja.</w:t>
      </w:r>
    </w:p>
    <w:p>
      <w:r>
        <w:t xml:space="preserve">U prvom polugodištu ove godine veće je izvršenje kod prijenosa sredstava proračunskim korisnicima (podskupina računa 367) i to za +424.090,90 Eur (odnosno za 11,31%) iako skupina 36 bilježi povećanje od „samo“ 243.074,90 Eur.</w:t>
      </w:r>
    </w:p>
    <w:p>
      <w:r>
        <w:t xml:space="preserve">Povećanje izvršenja rashoda za nabavu nefinancijske imovine (ukupno +722.716,20 EUR odnosno +13,22%) je, iznad svega, posljedica povećanja rashoda iz skupine 42 (nabavka proizvedene dugotrajne imovine odnosno građevinskih objekata i opreme i to za ukupno 3.383.921,04 što „kompenzira“ smanjene rashode od -2.671.306,59 Eur kod rashoda za dodatna ulaganja na nefinancijskoj imovini. Do istog dolazi zbog promjene prirode ulaganja koja je prešla iz ulaganja u pojedine kapitalne projekte u investicije koje se računovodstveno ne vode kao dodatna već kao direktna ulaganja.</w:t>
      </w:r>
    </w:p>
    <w:p>
      <w:r>
        <w:t xml:space="preserve">Ipak, na kraju treba uzeti u obzir da se radi o prihodima i rashodima koji su ostvareni i izvršeni u prvoj polovici godine koja je redovno slabija i po pitanju novčanih priliva kao i dijela koji se odnosi na realizaciju projekta (u prvom redu kapitalnih), a koji su uvijek vezani za uspješnost i obim financijskog priliva sredstava bilo naplate bilo doznake sredstava po sporazumima za kapitalne pomoći</w:t>
      </w:r>
    </w:p>
    <w:p>
      <w:r>
        <w:br/>
      </w:r>
    </w:p>
    <w:p>
      <w:pPr>
        <w:jc w:val="center"/>
        <w:pStyle w:val="Normal"/>
        <w:spacing w:line="240" w:lineRule="auto"/>
        <w:keepNext/>
      </w:pPr>
      <w:r>
        <w:rPr>
          <w:sz w:val="28"/>
          <w:rFonts w:ascii="Times New Roman" w:hAnsi="Times New Roman"/>
        </w:rPr>
        <w:t xml:space="preserve">Bilješka 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poreza (šifre 611+612+613+614+615+616)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7.800.597,76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8.595.802,18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110,2</w:t>
            </w:r>
          </w:p>
        </w:tc>
      </w:tr>
    </w:tbl>
    <w:p>
      <w:pPr>
        <w:spacing w:before="0" w:after="0"/>
      </w:pPr>
    </w:p>
    <w:p>
      <w:r>
        <w:t xml:space="preserve">Ostvarenje prihoda od poreza posljedica je isključivo povećanog ostvarenja poreza na dohodak (+848.492,25 odnosno +14,99%). Kod drugih poreznih podskupina (imovina, roba i usluge) kumulativno bilježi se relativno manji pad ostvarenja (ukupno -53.287,83 Eur za podskupine računa 613 i 614).</w:t>
      </w:r>
    </w:p>
    <w:p/>
    <w:p>
      <w:pPr>
        <w:jc w:val="center"/>
        <w:pStyle w:val="Normal"/>
        <w:spacing w:line="240" w:lineRule="auto"/>
        <w:keepNext/>
      </w:pPr>
      <w:r>
        <w:rPr>
          <w:sz w:val="28"/>
          <w:rFonts w:ascii="Times New Roman" w:hAnsi="Times New Roman"/>
        </w:rPr>
        <w:t xml:space="preserve">Bilješka 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Pomoći iz inozemstva i od subjekata unutar općeg proračuna (šifre 631+632+633+634+635+636+637+638+639)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332.809,73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2.254.328,93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677,4</w:t>
            </w:r>
          </w:p>
        </w:tc>
      </w:tr>
    </w:tbl>
    <w:p>
      <w:pPr>
        <w:spacing w:before="0" w:after="0"/>
      </w:pPr>
    </w:p>
    <w:p>
      <w:r>
        <w:t xml:space="preserve">Na povećano ostvarenje pomoći iz inozemstva i od subjekata unutar općeg proračuna (+1.921.519,20 odnosno 577,36%) najvećim je dijelom utjecalo povećanje ostvarenja prihoda od kapitalnih pomoći temeljem prijenosa EU sredstava i to za sredstva koja su uplaćena za rekonstrukciju Oš Jurja Dobrile (+1.578.496,22 Eur u odnosu na razdoblje 1-6/25.) te kod kapitalnih pomoći od državnog proračuna za sanaciju dvorane Valbruna (+405.000,00).</w:t>
      </w:r>
    </w:p>
    <w:p/>
    <w:p>
      <w:pPr>
        <w:jc w:val="center"/>
        <w:pStyle w:val="Normal"/>
        <w:spacing w:line="240" w:lineRule="auto"/>
        <w:keepNext/>
      </w:pPr>
      <w:r>
        <w:rPr>
          <w:sz w:val="28"/>
          <w:rFonts w:ascii="Times New Roman" w:hAnsi="Times New Roman"/>
        </w:rPr>
        <w:t xml:space="preserve">Bilješka 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imovine (šifre 641+642+643)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940.248,23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577.394,05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61,4</w:t>
            </w:r>
          </w:p>
        </w:tc>
      </w:tr>
    </w:tbl>
    <w:p>
      <w:pPr>
        <w:spacing w:before="0" w:after="0"/>
      </w:pPr>
    </w:p>
    <w:p>
      <w:r>
        <w:t xml:space="preserve">Manje ostvarenje na ovoj skupini računa u zajedništvu sa skupinom 65  je plod isključivo problema oko uvođenja novog softvera za cijeli gradski proračun. Naime, došlo je do kašnjenja kod fakturiranja uplatnica i računa za sve komunalne prihode uslijed čega je došlo do pada ostvarenja u odnosu na očekivano od minimalno 2.000.000,00 Eur za prvih 6 mjeseci iako se tu, na neki način, radi o odgođenoj naplati prihoda za ovu godinu jer se radi o prihodima koja će se u narednom razdoblju, po izdavanju rješenja i računa (odnosno uplatnica) uglavnom odnosno u najvećem obimu uspjeti naplatiti.</w:t>
      </w:r>
    </w:p>
    <w:p/>
    <w:p>
      <w:pPr>
        <w:jc w:val="center"/>
        <w:pStyle w:val="Normal"/>
        <w:spacing w:line="240" w:lineRule="auto"/>
        <w:keepNext/>
      </w:pPr>
      <w:r>
        <w:rPr>
          <w:sz w:val="28"/>
          <w:rFonts w:ascii="Times New Roman" w:hAnsi="Times New Roman"/>
        </w:rPr>
        <w:t xml:space="preserve">Bilješka 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upravnih i administrativnih pristojbi, pristojbi po posebnim propisima i naknada (šifre 651+652+653+654)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2.462.522,09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944.551,62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38,4</w:t>
            </w:r>
          </w:p>
        </w:tc>
      </w:tr>
    </w:tbl>
    <w:p>
      <w:pPr>
        <w:spacing w:before="0" w:after="0"/>
      </w:pPr>
    </w:p>
    <w:p>
      <w:r>
        <w:t xml:space="preserve">Manje ostvarenje na ovoj skupini računa u zajedništvu sa skupinom 65  je plod isključivo problema oko uvođenja novog softvera za cijeli gradski proračun. Naime, došlo je do kašnjenja kod fakturiranja uplatnica i računa za sve komunalne prihode uslijed čega je došlo do pada ostvarenja u odnosu na očekivano od minimalno 2.000.000,00 Eur za prvih 6 mjeseci iako se tu, na neki način, radi o odgođenoj naplati prihoda za ovu godinu jer se radi o prihodima koja će se u narednom razdoblju, po izdavanju rješenja i računa (odnosno uplatnica) uglavnom odnosno u najvećem obimu uspjeti naplatiti.</w:t>
      </w:r>
    </w:p>
    <w:p/>
    <w:p>
      <w:pPr>
        <w:jc w:val="center"/>
        <w:pStyle w:val="Normal"/>
        <w:spacing w:line="240" w:lineRule="auto"/>
        <w:keepNext/>
      </w:pPr>
      <w:r>
        <w:rPr>
          <w:sz w:val="28"/>
          <w:rFonts w:ascii="Times New Roman" w:hAnsi="Times New Roman"/>
        </w:rPr>
        <w:t xml:space="preserve">Bilješka 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Materijalni rashodi (šifre 321+322+323+324+325+329)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2.908.188,59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2.893.520,74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99,5</w:t>
            </w:r>
          </w:p>
        </w:tc>
      </w:tr>
    </w:tbl>
    <w:p>
      <w:pPr>
        <w:spacing w:before="0" w:after="0"/>
      </w:pPr>
    </w:p>
    <w:p>
      <w:r>
        <w:t xml:space="preserve">Obrazložit ćemo neke promjene na osnovnim računima unutar skupine 32 obzirom da promjena unutar cijele skupine iznosi samo -0,5% odnosno -14.667,85 Eur. Prije svega napominjemo smanjenje izvršenja kod usluga tekućeg i investicijskog održavanja (-428.636,43 Eur odnosno -32,64%); uzrok tome je da je tijekom početka prošle godine došlo do jačih zahvata investicijskog održavanja na prometnicama uslijed čega je za prvih 6 mjeseci 2025.godine bilo utrošeno 543.135,57 Eur. Od značajnijih povećanja na istoj skupini (materijalni rashodi) napominjemo povećanje rashoda za komunalne usluge (+47,82% odnosno +103.446,63) sa značajnim udjelom povećanja rashoda na računu 32342 - Iznošenje i odvoz smeća (-77.101,22) uslijed povećane potrebe za odvozom smeća i povećanje troškova odnosno cijene usluge te intelektualne i osobne usluge (+267.622,12 odnosno +148,18%) sa otprilike podjednakim obimom povećanja kod računa autorskih honorara, ugovora o djelu, odvjetničkih usluga te usluga vještačenja.</w:t>
      </w:r>
    </w:p>
    <w:p/>
    <w:p>
      <w:pPr>
        <w:jc w:val="center"/>
        <w:pStyle w:val="Normal"/>
        <w:spacing w:line="240" w:lineRule="auto"/>
        <w:keepNext/>
      </w:pPr>
      <w:r>
        <w:rPr>
          <w:sz w:val="28"/>
          <w:rFonts w:ascii="Times New Roman" w:hAnsi="Times New Roman"/>
        </w:rPr>
        <w:t xml:space="preserve">Bilješka 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Subvencije (šifre 351+352+353)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384.990,87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469.738,22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122,0</w:t>
            </w:r>
          </w:p>
        </w:tc>
      </w:tr>
    </w:tbl>
    <w:p>
      <w:pPr>
        <w:spacing w:before="0" w:after="0"/>
      </w:pPr>
    </w:p>
    <w:p>
      <w:r>
        <w:t xml:space="preserve">Povećanje na ovoj skupini je rezultat povećanja rashoda za dotacije TD Valbruna sport d.o.o. za rad istog kao i za održavanje sportskih objekata na području grada kojima to poduzeće upravlja (+79.126,71 Eur).</w:t>
      </w:r>
    </w:p>
    <w:p/>
    <w:p>
      <w:pPr>
        <w:jc w:val="center"/>
        <w:pStyle w:val="Normal"/>
        <w:spacing w:line="240" w:lineRule="auto"/>
        <w:keepNext/>
      </w:pPr>
      <w:r>
        <w:rPr>
          <w:sz w:val="28"/>
          <w:rFonts w:ascii="Times New Roman" w:hAnsi="Times New Roman"/>
        </w:rPr>
        <w:t xml:space="preserve">Bilješka 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Pomoći dane u inozemstvo i unutar općeg proračuna (šifre 361+362+363+365+366+367+368+369)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4.210.343,90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4.453.418,80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105,8</w:t>
            </w:r>
          </w:p>
        </w:tc>
      </w:tr>
    </w:tbl>
    <w:p>
      <w:pPr>
        <w:spacing w:before="0" w:after="0"/>
      </w:pPr>
    </w:p>
    <w:p>
      <w:r>
        <w:t xml:space="preserve">Ova skupina računa bilježi povećanje u prvoj polovici godine (+243.074,90). Spomenimo pritom smanjenje kod tekućih pomoći izvanproračunskim korisnicima (račun 36319) i to za -195.000,00 Eur: iznos je tijekom prvog polugodišta prošle godine doznačen Županijskoj upravi za ceste za potrebe održavanja županijske ceste-5096. S druge strane ove je godine zabilježeno veće izvršenje kod prijenosa proračunskim korisnicima (podskupina računa 367) i to za +424.090,90 Eur (odnosno za 11,31%).</w:t>
      </w:r>
    </w:p>
    <w:p/>
    <w:p>
      <w:pPr>
        <w:jc w:val="center"/>
        <w:pStyle w:val="Normal"/>
        <w:spacing w:line="240" w:lineRule="auto"/>
        <w:keepNext/>
      </w:pPr>
      <w:r>
        <w:rPr>
          <w:sz w:val="28"/>
          <w:rFonts w:ascii="Times New Roman" w:hAnsi="Times New Roman"/>
        </w:rPr>
        <w:t xml:space="preserve">Bilješka 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Naknade građanima i kućanstvima na temelju osiguranja i druge naknade (šifre 371+372)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467.500,09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609.791,52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130,4</w:t>
            </w:r>
          </w:p>
        </w:tc>
      </w:tr>
    </w:tbl>
    <w:p>
      <w:pPr>
        <w:spacing w:before="0" w:after="0"/>
      </w:pPr>
    </w:p>
    <w:p>
      <w:r>
        <w:t xml:space="preserve">Značajno veće izvršenje naknada građanima i kućanstvima u novcu (+142.291,43 odnosno +30,44%) rezultat je, iznad svega, većih izdvajanja za pomoći obiteljima i kućanstvima (+137.472,78 odnosno +32,99%) kao rezultat orijentacije veće socijalne osjetljivosti za povećane potrebe socijalno ugroženim građanima u ovim zahtjevnim vremenima.</w:t>
      </w:r>
    </w:p>
    <w:p/>
    <w:p>
      <w:pPr>
        <w:jc w:val="center"/>
        <w:pStyle w:val="Normal"/>
        <w:spacing w:line="240" w:lineRule="auto"/>
        <w:keepNext/>
      </w:pPr>
      <w:r>
        <w:rPr>
          <w:sz w:val="28"/>
          <w:rFonts w:ascii="Times New Roman" w:hAnsi="Times New Roman"/>
        </w:rPr>
        <w:t xml:space="preserve">Bilješka 10.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donacije, kazne, naknade šteta i kapitalne pomoći (šifre 381+382+383+386)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1.196.297,39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1.277.526,54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106,8</w:t>
            </w:r>
          </w:p>
        </w:tc>
      </w:tr>
    </w:tbl>
    <w:p>
      <w:pPr>
        <w:spacing w:before="0" w:after="0"/>
      </w:pPr>
    </w:p>
    <w:p>
      <w:r>
        <w:t xml:space="preserve">Zabilježeno povećanje kod ove skupine računa (Rashodi za donacije, kazne, naknade šteta i kapitalne pomoći) od 81.229,15 Eur odnosno se na povećanje izvršenja kod tekućih donacije udrugama i političkim strankama u iznosu od 72.541,55 Eur i to, iznad svega jer je prošle godine, kao i obično u godinama održavanja lokalnih izbora došlo do vakuuma u obračunu i doznačavanju  redovnim sredstava političkim strankama uslijed rasformiranja starog saziva Gradskog vijeća odnosno formiranja novog saziva.</w:t>
      </w:r>
    </w:p>
    <w:p/>
    <w:p>
      <w:pPr>
        <w:jc w:val="center"/>
        <w:pStyle w:val="Normal"/>
        <w:spacing w:line="240" w:lineRule="auto"/>
        <w:keepNext/>
      </w:pPr>
      <w:r>
        <w:rPr>
          <w:sz w:val="28"/>
          <w:rFonts w:ascii="Times New Roman" w:hAnsi="Times New Roman"/>
        </w:rPr>
        <w:t xml:space="preserve">Bilješka 11.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prodaje neproizvedene dugotrajne imovine (šifre 711+712)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1.239.379,61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572.954,49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46,2</w:t>
            </w:r>
          </w:p>
        </w:tc>
      </w:tr>
    </w:tbl>
    <w:p>
      <w:pPr>
        <w:spacing w:before="0" w:after="0"/>
      </w:pPr>
    </w:p>
    <w:p>
      <w:r>
        <w:t xml:space="preserve">Do pada ostvarenja i to za -628.338,56 Eur (-49,34%) dovelo je smanjenje naplate prihoda od prodaje građevinskog zemljišta u odnosu na isto razdoblje prošle godine. Najčešće se tu radi o raznim dinamikama tijeka postupka natječaja i rokova u postupku te konačne naplate ostvarene kupoprodajne cijene.</w:t>
      </w:r>
    </w:p>
    <w:p/>
    <w:p>
      <w:pPr>
        <w:jc w:val="center"/>
        <w:pStyle w:val="Normal"/>
        <w:spacing w:line="240" w:lineRule="auto"/>
        <w:keepNext/>
      </w:pPr>
      <w:r>
        <w:rPr>
          <w:sz w:val="28"/>
          <w:rFonts w:ascii="Times New Roman" w:hAnsi="Times New Roman"/>
        </w:rPr>
        <w:t xml:space="preserve">Bilješka 12.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nabavu neproizvedene dugotrajne imovine (šifre 411+412)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141.789,99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151.891,74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107,1</w:t>
            </w:r>
          </w:p>
        </w:tc>
      </w:tr>
    </w:tbl>
    <w:p>
      <w:pPr>
        <w:spacing w:before="0" w:after="0"/>
      </w:pPr>
    </w:p>
    <w:p>
      <w:r>
        <w:t xml:space="preserve">U izvještajnom razdoblju prošle godine je došlo do nabavke više parcela (putem postupka izvlaštenja) za potrebe izgradnje južne obilaznice Monte Mulini dok ove godine takav rashod zasad nije realiziran.</w:t>
      </w:r>
    </w:p>
    <w:p/>
    <w:p>
      <w:pPr>
        <w:jc w:val="center"/>
        <w:pStyle w:val="Normal"/>
        <w:spacing w:line="240" w:lineRule="auto"/>
        <w:keepNext/>
      </w:pPr>
      <w:r>
        <w:rPr>
          <w:sz w:val="28"/>
          <w:rFonts w:ascii="Times New Roman" w:hAnsi="Times New Roman"/>
        </w:rPr>
        <w:t xml:space="preserve">Bilješka 13.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nabavu proizvedene dugotrajne imovine (šifre 421+422+423+424+425+426)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321.862,38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3.705.783,42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1151,4</w:t>
            </w:r>
          </w:p>
        </w:tc>
      </w:tr>
    </w:tbl>
    <w:p>
      <w:pPr>
        <w:spacing w:before="0" w:after="0"/>
      </w:pPr>
    </w:p>
    <w:p>
      <w:r>
        <w:t xml:space="preserve">Od prošle godine se započelo, uz pomoć sredstava EU fondova, sa intenzivnijim zahvatima po pitanju ulaganja  u zelenu infrastrukturu kao provedbu mjera prilagodbe klimatskim promjenama (za razdoblje 1-6/26 utrošeno je 2.458.783,33 Eur), a možemo izdvojiti i ulaganje u sanaciju šetnice K.Luegera III faza (utrošeno je 963.813,88).</w:t>
      </w:r>
    </w:p>
    <w:p/>
    <w:p>
      <w:pPr>
        <w:jc w:val="center"/>
        <w:pStyle w:val="Normal"/>
        <w:spacing w:line="240" w:lineRule="auto"/>
        <w:keepNext/>
      </w:pPr>
      <w:r>
        <w:rPr>
          <w:sz w:val="28"/>
          <w:rFonts w:ascii="Times New Roman" w:hAnsi="Times New Roman"/>
        </w:rPr>
        <w:t xml:space="preserve">Bilješka 14.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dodatna ulaganja na nefinancijskoj imovini (šifre 451 do 454)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5.003.265,70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2.331.959,11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46,6</w:t>
            </w:r>
          </w:p>
        </w:tc>
      </w:tr>
    </w:tbl>
    <w:p>
      <w:pPr>
        <w:spacing w:before="0" w:after="0"/>
      </w:pPr>
    </w:p>
    <w:p>
      <w:r>
        <w:t xml:space="preserve">Do značajno manje realizacije na ovoj skupini (-2.671.306,59) došlo je jer je u promatranom razdoblju prošle godine bio u tijeku veći broj značajnijih ulaganja koji su teretili ovu skupinu računa (ulica Carducci, energetska obnova Dv Neven, Spomen-obilježje hrvatskim braniteljima, rekonstrukcija Dv Mondelaco, Centar za mlade dr. Dino Škrapić,MBA) dok je ove godine na ovom računu jedini jači zahvat ulaganje u rekonstrukciju Oš. J.Dobrile.</w:t>
      </w:r>
    </w:p>
    <w:p/>
    <w:p>
      <w:pPr>
        <w:jc w:val="center"/>
        <w:pStyle w:val="Normal"/>
        <w:spacing w:line="240" w:lineRule="auto"/>
        <w:keepNext/>
      </w:pPr>
      <w:r>
        <w:rPr>
          <w:b/>
          <w:sz w:val="28"/>
          <w:rFonts w:ascii="Times New Roman" w:hAnsi="Times New Roman"/>
        </w:rPr>
        <w:t xml:space="preserve">Izvještaj o obvezama</w:t>
      </w:r>
    </w:p>
    <w:p>
      <w:pPr>
        <w:jc w:val="center"/>
        <w:pStyle w:val="Normal"/>
        <w:spacing w:line="240" w:lineRule="auto"/>
        <w:keepNext/>
      </w:pPr>
      <w:r>
        <w:rPr>
          <w:sz w:val="28"/>
          <w:rFonts w:ascii="Times New Roman" w:hAnsi="Times New Roman"/>
        </w:rPr>
        <w:t xml:space="preserve">Bilješka 15.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Stanje dospjelih obveza na kraju izvještajnog razdoblja (šifre V008+D23+D24 + 'D dio 25,26' + D27)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V007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Na dan 30.lipnja 2026.godine nema evidentiranih otvorenih dospjelih obveza što znači da su sve otvorene obveze na taj dan nedospjele.</w:t>
      </w:r>
    </w:p>
    <w:p/>
    <w:p>
      <w:pPr>
        <w:jc w:val="center"/>
        <w:pStyle w:val="Normal"/>
        <w:spacing w:line="240" w:lineRule="auto"/>
        <w:keepNext/>
      </w:pPr>
      <w:r>
        <w:rPr>
          <w:sz w:val="28"/>
          <w:rFonts w:ascii="Times New Roman" w:hAnsi="Times New Roman"/>
        </w:rPr>
        <w:t xml:space="preserve">Bilješka 16.</w:t>
      </w:r>
    </w:p>
    <w:p>
      <w:pPr>
        <w:jc w:val="both"/>
        <w:pStyle w:val="Normal"/>
        <w:spacing w:line="240" w:lineRule="auto"/>
      </w:pPr>
      <w:r>
        <w:rPr>
          <w:b/>
          <w:sz w:val="24"/>
          <w:rFonts w:ascii="Times New Roman" w:hAnsi="Times New Roman"/>
        </w:rPr>
        <w:t xml:space="preserve">EU izvještaj</w:t>
      </w:r>
    </w:p>
    <w:p>
      <w:r>
        <w:t xml:space="preserve">Prema dobivenim uputama, bilješke u vezi EU izvještaja se ne unose.</w:t>
      </w:r>
    </w:p>
    <w:p/>
  </w:body>
</w:document>
</file>

<file path=word/styles.xml><?xml version="1.0" encoding="utf-8"?>
<w:styles xmlns:w="http://schemas.openxmlformats.org/wordprocessingml/2006/main">
  <w:docDefaults>
    <w:rPrDefault>
      <w:rPr>
        <w:rFonts w:ascii="Times New Roman" w:hAnsi="Times New Roman"/>
        <w:sz w:val="24"/>
      </w:rPr>
    </w:rPrDefault>
  </w:docDefaults>
  <w:style w:type="paragraph" w:styleId="Normal" w:default="true">
    <w:name w:val="Normal"/>
    <w:rPr>
      <w:rFonts w:ascii="Times New Roman" w:hAnsi="Times New Roman"/>
      <w:sz w:val="24"/>
    </w:rPr>
  </w:style>
</w:styles>
</file>

<file path=word/_rels/document.xml.rels>&#65279;<?xml version="1.0" encoding="utf-8"?><Relationships xmlns="http://schemas.openxmlformats.org/package/2006/relationships"><Relationship Type="http://schemas.openxmlformats.org/officeDocument/2006/relationships/styles" Target="/word/styles.xml" Id="R435a3c5ceba641c1" /></Relationships>
</file>