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326df027227c4542"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34442</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GRAD ROVINJ - ROVIGNO</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26.930.037,30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29.674.582,87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110,2</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19.133.061,22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23.880.507,34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7.796.976,08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5.794.075,53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74,3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918.829,37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1.804.496,30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196,4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10.135.957,93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12.064.866,02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119,0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9.217.128,56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10.260.369,72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39.824,48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44.543,18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PRIMITAKA OD FINANCIJSKE IMOVINE I ZADUŽIVANJA (šifre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39.824,48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44.543,18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111,8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I PRIMITAKA (šifre Y345-X678)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1.459.976,96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4.510.837,37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309,0</w:t>
            </w:r>
          </w:p>
        </w:tc>
      </w:tr>
    </w:tbl>
    <w:p>
      <w:pPr>
        <w:spacing w:before="0" w:after="0"/>
      </w:pPr>
    </w:p>
    <w:p>
      <w:r>
        <w:t xml:space="preserve">U razdoblju 1-12/2025. prihodi poslovanja bilježe porast od 2.744.545,57 EUR odnosno +10,19% u odnosu na isto razdoblje 2024.godine. Najveći porast kod istih bilježi se kod poreza na dohodak od kapitala (uslijed obimnije isplate dividendi), zatim poreza na dohodak od nesamostalnog rada (koji je rezultat veće gospodarske djelatnosti i povećanja plaća u upravi i kod korisnika kojih je Grad osnivač) ali i kod povremenih poreza na imovinu zbog još uvijek konstantne dinamičnosti na tržištu nekretnina tijekom 2025.godine (porez na promet nekretnina ostvaren za 801.122,98 EUR odnosno +50,79% više nego prethodne godine). S druge strane, značajan pad bilježe kapitalne pomoći od proračuna RH zbog činjenice da je, prije svega,  investicijsko održavanje dvorane Valbruna (sa pripadajućim sufinanciranjem) realizirano prošle godine. Još je veći pad kod prihoda od kapitalnih pomoći temeljem prijenosa EU sredstava jer je rekonstrukcija dječjeg vrtića na području Mondelaco što se tiče radova i sufinanciranja realizirana također tijekom 2024.godine. Pad u ostvarenju prihoda od zakupa i iznajmljivanja turističkog zemljišta (hotela, turističkih naselja i kampova) je rezultat činjenice da je od Maistre i Valalte prošle 2024.godine naplaćeno višegodišnje potraživanje po tom osnovu što onda čini ostvarenje većim od „normalnog“ ostvarenja u 2025.godini.</w:t>
      </w:r>
    </w:p>
    <w:p>
      <w:r>
        <w:t xml:space="preserve">Povećanje izvršenja rashoda poslovanja u ukupnom iznosu od 4.747.446,12 EUR (odnosno +24,81%) prouzrokovano je povećanjem izvršenja na određenim skupinama računa: povećanjem rashoda za zaposlene u gradskoj upravi i ustanovama kojih je Grad osnivač došlo je do povećanja izvršenja na skupini 31 – rashodi za zaposlene ali i na 36-Pomoći dane u inozemstvo i unutar općeg proračuna zbog evidentiranja prijenosa redovnih sredstava proračunskim korisnicima kojih je osnivač Grad.</w:t>
      </w:r>
    </w:p>
    <w:p>
      <w:r>
        <w:t xml:space="preserve">Kod ostalih skupina rashoda poslovanja, značajno povećanje bilježi se kod usluga tekućeg i investicijskog održavanja (+471.745,27 odnosno +25,86%) te kod tekućih pomoći izvanproračunskim korisnicima i to uslijed većih rashoda za investicijsko održavanje prometnica na području grada kao i za izvanredno održavanje Županijske ceste-5096.</w:t>
      </w:r>
    </w:p>
    <w:p>
      <w:r>
        <w:t xml:space="preserve">Povećanje ostvarenja prihoda od prodaje nefinancijske imovine u ukupnom iznosu od 885.666,93 EUR najvećim je dijelom posljedica prihoda od prodaje građevinskog zemljišta za na području Salterija, Montepozzo i Gripole-Spine', uglavnom za poslovne svrhe.</w:t>
      </w:r>
    </w:p>
    <w:p>
      <w:r>
        <w:t xml:space="preserve">Povećanje izvršenja rashoda za nabavu nefinancijske imovine (ukupno 1.928.908,09 EUR odnosno +19,03%) je, iznad svega, posljedica povećanja rashoda iz skupine 42 (nabavka proizvedene dugotrajne imovine odnosno građevinskih objekata i opreme i to za ukupno 1.834.438,59 odnosno 90,10%).</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poreza (šifre 611+612+613+614+615+616)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15.836.428,25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20.885.913,84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w:t>
            </w:r>
          </w:p>
        </w:tc>
      </w:tr>
    </w:tbl>
    <w:p>
      <w:pPr>
        <w:spacing w:before="0" w:after="0"/>
      </w:pPr>
    </w:p>
    <w:p>
      <w:r>
        <w:t xml:space="preserve">Ostvarenje prihoda od poreza posljedica je povećanog ostvarenja poreza na dohodak (+4.167.972,00 odnosno +37,32%). Isto tako i porezi na imovinu bilježe porast ostvarenja od 872.195,83 i to najvećim dijelom zbog većeg ostvarenja poreza na promet nekretnina (+801.122,98 ili +50,79%).</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 inozemstva i od subjekata unutar općeg proračuna (šifre 631+632+633+634+635+636+637+638+639)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1.683.054,67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672.457,97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40,0</w:t>
            </w:r>
          </w:p>
        </w:tc>
      </w:tr>
    </w:tbl>
    <w:p>
      <w:pPr>
        <w:spacing w:before="0" w:after="0"/>
      </w:pPr>
    </w:p>
    <w:p>
      <w:r>
        <w:t xml:space="preserve">Na smanjeno ostvarenje pomoći iz inozemstva i od subjekata unutar općeg proračuna (-1.010.596,70 odnosno -60,05%) najvećim je dijelom utjecalo umanjenje ostvarenja kapitalnih pomoći iz državnog proračuna (-226.081,10 odnosno -82,39%) zbog toga što je investicijsko održavanje dvorane Valbruna (sa pripadajućim sufinanciranjem) realizirano prošle 2024.godine. Još je obimniji pad kod prihoda od kapitalnih pomoći temeljem prijenosa EU sredstava (-644.244,27 odnosno -99,56%) jer je rekonstrukcija dječjeg vrtića na području Mondelaco što se tiče radova i sufinanciranja realizirana također tijekom 2024.godine.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3.628.556,82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1.942.980,05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53,5</w:t>
            </w:r>
          </w:p>
        </w:tc>
      </w:tr>
    </w:tbl>
    <w:p>
      <w:pPr>
        <w:spacing w:before="0" w:after="0"/>
      </w:pPr>
    </w:p>
    <w:p>
      <w:r>
        <w:t xml:space="preserve">Kod manjeg ostvarenja skupine prihoda od imovine (-1.685.576,77 odnosno -46,45%) izdvajamo dio koji se odnosi na zakup i iznajmljivanje turističkog zemljišta odnosno hotela, turističkih naselja i kampova (-1.597.295,84 odnosno -60,01%) i to kao rezultat činjenice da je od Maistre i Valalte prošle godine naplaćeno višegodišnje potraživanje po tom osnovu što onda čini ostvarenje većim od „normalnog“ ostvarenja u 2025.godini.</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zaposlene (šifre 311+312+313)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2.608.142,29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3.543.998,20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135,9</w:t>
            </w:r>
          </w:p>
        </w:tc>
      </w:tr>
    </w:tbl>
    <w:p>
      <w:pPr>
        <w:spacing w:before="0" w:after="0"/>
      </w:pPr>
    </w:p>
    <w:p>
      <w:r>
        <w:t xml:space="preserve">Povećanje izvršenja rashoda poslovanja (+4.747.446,12 odnosno +24,81%) posljedica je povećanja rashoda za zaposlene u gradskoj upravi i ustanovama kojih je Grad osnivač i to uslijed porasta plaća od  mjeseca srpnja 2024.</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Materijalni rashodi (šifre 321+322+323+324+325+329)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4.984.152,66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6.037.226,36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121,1</w:t>
            </w:r>
          </w:p>
        </w:tc>
      </w:tr>
    </w:tbl>
    <w:p>
      <w:pPr>
        <w:spacing w:before="0" w:after="0"/>
      </w:pPr>
    </w:p>
    <w:p>
      <w:r>
        <w:t xml:space="preserve">Na povećano izvršenje materijalnih rashoda (+1.053.073,70 odnosno +21,13%) utjecalo je najvećim dijelom povećanje rashoda za usluge (+976.583,60 odnosno +22,34%) kod kojih  možemo izdvojiti povećanje rashoda za usluge tekućeg i investicijskog održavanja (+471.745,27 odnosno +25,86%) i to uslijed povećanih troškova za investicijsko održavanje prometnica na području grada (+545.010,57 EUR). Isto tako, izdvajamo i povećanje kod rashoda za intelektualne usluge (+230.675,30 odnosno +54,28%) kod kojih izdvajamo odvjetničke usluge za potrebe raznih postupaka izvlaštenja u ukupnom iznosu od 33.174,52 EUR.</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dane u inozemstvo i unutar općeg proračuna (šifre 361+362+363+365+366+367+368+369)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7.261.664,58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9.589.486,60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132,1</w:t>
            </w:r>
          </w:p>
        </w:tc>
      </w:tr>
    </w:tbl>
    <w:p>
      <w:pPr>
        <w:spacing w:before="0" w:after="0"/>
      </w:pPr>
    </w:p>
    <w:p>
      <w:r>
        <w:t xml:space="preserve">Od ukupnog povećanja rashoda po ovoj skupini računa (+2.327.822,02 odnosno +32,06%) značajan udio otpada na povećanje u odjeljku 3672- Prijenosi proračunskim korisnicima iz nadležnog proračuna za financiranje rashoda poslovanja (+1.649.593,97 odnosno +25,93%) gdje se evidentira financiranje iz gradskog proračuna korisnika kojih je grad osnivač odnosno zadovoljavanje njihovih izdataka za materijalne rashode (plaće, naknade, režije, materijal za potrebe poslovanja itd.). U ovom je slučaju povećanje najizravnije povezano sa gore navedenim povećanjem plaća za Grad i njegove ustanove sredinom 2024.godine</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građanima i kućanstvima na temelju osiguranja i druge naknade (šifre 371+372)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704.432,98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876.656,20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124,4</w:t>
            </w:r>
          </w:p>
        </w:tc>
      </w:tr>
    </w:tbl>
    <w:p>
      <w:pPr>
        <w:spacing w:before="0" w:after="0"/>
      </w:pPr>
    </w:p>
    <w:p>
      <w:r>
        <w:t xml:space="preserve">Značajno veće izvršenje naknada građanima i kućanstvima u novcu (+172.223,22 odnosno +24,45%) rezultat je, iznad svega, većih izdvajanja za pomoći obiteljima i kućanstvima (+109.609,86) te za stipendije učenicima i studentima (+33.400,00).</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donacije, kazne, naknade šteta i kapitalne pomoći (šifre 381+382+383+386)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2.764.733,07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3.014.862,24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109,0</w:t>
            </w:r>
          </w:p>
        </w:tc>
      </w:tr>
    </w:tbl>
    <w:p>
      <w:pPr>
        <w:spacing w:before="0" w:after="0"/>
      </w:pPr>
    </w:p>
    <w:p>
      <w:r>
        <w:t xml:space="preserve">Veće dio ukupnog povećanja izvršenja ove skupine računa odnosi se na povećanje rashoda za djelovanje sportskih klubova (+71.307,08), za djelovanje udruga građana (+51.358,93) te za kapitalnu donaciju kao i za povećanje redovnih dotacija Područnoj vatrogasnoj zajednici za nabavu i nadogradnju vozila te za opremanje vatrogastva na području Grada (+70.000).</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neproizvedene dugotrajne imovine (šifre 711+712)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765.258,53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1.705.355,05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222,8</w:t>
            </w:r>
          </w:p>
        </w:tc>
      </w:tr>
    </w:tbl>
    <w:p>
      <w:pPr>
        <w:spacing w:before="0" w:after="0"/>
      </w:pPr>
    </w:p>
    <w:p>
      <w:r>
        <w:t xml:space="preserve">Kod prodaje neproizvedene dugotrajne imovine izdvajamo značajno povećanje ostvarenja prihoda od prodaje građevinskog zemljišta¸u vlasništvu Grada (+875.368,84 odnosno +265,55%).</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neproizvedene dugotrajne imovine (šifre 411+412)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58.432,67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239.037,35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409,1</w:t>
            </w:r>
          </w:p>
        </w:tc>
      </w:tr>
    </w:tbl>
    <w:p>
      <w:pPr>
        <w:spacing w:before="0" w:after="0"/>
      </w:pPr>
    </w:p>
    <w:p>
      <w:r>
        <w:t xml:space="preserve">Kod prodaje neproizvedene dugotrajne imovine izdvajamo značajno povećanje ostvarenja prihoda od prodaje građevinskog zemljišta¸u vlasništvu Grada (+875.368,84 odnosno +265,55%).</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proizvedene dugotrajne imovine (šifre 421+422+423+424+425+426)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2.035.890,64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3.870.329,23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190,1</w:t>
            </w:r>
          </w:p>
        </w:tc>
      </w:tr>
    </w:tbl>
    <w:p>
      <w:pPr>
        <w:spacing w:before="0" w:after="0"/>
      </w:pPr>
    </w:p>
    <w:p>
      <w:r>
        <w:t xml:space="preserve">Na povećanje rashoda za nabavu proizvedene dugotrajne imovine (+1.834.438,59 odnosno +90,10%) utjecalo je nekoliko stavaka odnosno kategorija rashoda: prije svega gradnja cesta i nabava nekretnina koji su u svojoj prirodi putevi za potrebe budućih izgradnji prometnica (+419.478,32 odnosno +37,56%), zatim ostali građevinski objekti (+824.878,36 odnosno +337,21%) u što spada, iznad svega, investicija za gradnju novog autobusnog kolodvora  Concetta koja je tek proteklu jesen krenula sa realizacijom. Izdvajamo i povećanje rashoda za nabavu uredske opreme i namještaja (+492.702,77 odnosno -1.036,99%) pogotovo uslijed  opremanja obnovljenog dječjeg vrtića.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Poslovni objekti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19.713.217,34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30.296.744,90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153,7</w:t>
            </w:r>
          </w:p>
        </w:tc>
      </w:tr>
    </w:tbl>
    <w:p>
      <w:pPr>
        <w:spacing w:before="0" w:after="0"/>
      </w:pPr>
    </w:p>
    <w:p>
      <w:r>
        <w:t xml:space="preserve">Povećanje vrijednosti imovine u odjeljku 0212 (+10.583.527,56 odnosno +53,69%) je najvećim dijelom posljedica prijenosa ukupno dovršenih investicija u uporabu sa grupe 05-dugotrajna nefinancijska imovina u pripremi (od čega izdvajamo +6.792.483,28 za 2 dječja vrtića te ukupno +3.146.939,23 za zgrade kulturnih institucija odnosno preuređenje kazališta Gandusio, novi Centar za mlade dr. Dino Škrapić te novo Spomen-obilježje hrvatskim braniteljima).</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Uredska oprema i namještaj</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846.888,14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1.381.614,04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163,1</w:t>
            </w:r>
          </w:p>
        </w:tc>
      </w:tr>
    </w:tbl>
    <w:p>
      <w:pPr>
        <w:spacing w:before="0" w:after="0"/>
      </w:pPr>
    </w:p>
    <w:p>
      <w:r>
        <w:t xml:space="preserve">Kako je već navedeno u bilješci za skupinu 42 (za obrazac PR-RAS) ovdje treba napomenuti povećanje pripadajuće imovine uslijed povećanja rashoda za nabavu uredske opreme i namještaja (+492.702,77 odnosno -1.036,99%), iz razloga što je došlo do značajnog opremanja namještajem i opremom novoobnovljenih dječjih vrtića Neven i Mondelaco. Na ovaj posljednji se odnosi i glavni razlog značajnijeg povećanja imovine na odjeljku 0226 Sportska oprema (170.790,00).</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6.523.841,68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3.181.850,26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48,8</w:t>
            </w:r>
          </w:p>
        </w:tc>
      </w:tr>
    </w:tbl>
    <w:p>
      <w:pPr>
        <w:spacing w:before="0" w:after="0"/>
      </w:pPr>
    </w:p>
    <w:p>
      <w:r>
        <w:t xml:space="preserve">Smanjena investicijska aktivnost u drugom dijelu godine u odnosu na prethodnu 2024.godinu, o čemu je bilo je riječ u bilješci za skupinu 24 - obrazac Obveze ali i gore spomenuti značajniji prijenos imovine u uporabu krajem 2025.godine, glavni je razlog drastičnog smanjenja ove skupine - Dugotrajna nefinancijska imovina u pripremi (05).</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na računu kod tuzemnih poslovnih banaka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20.960.990,91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16.611.604,37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w:t>
            </w:r>
          </w:p>
        </w:tc>
      </w:tr>
    </w:tbl>
    <w:p>
      <w:pPr>
        <w:spacing w:before="0" w:after="0"/>
      </w:pPr>
    </w:p>
    <w:p>
      <w:r>
        <w:t xml:space="preserve">Smanjenje ukupnog salda na žiro-računima samo Grada, bez korisnika, (redovnom i namjenskom) od 4.349.386,54 (-20,75%) preslikava otprilike razliku u ostvarenju financijskog rezultata za razinu 22 (-4.510.837,37) obzirom da je ukupni saldo povećanja svih obveza u tijeku 2025.godine (37.853.236,68) otprilike na sličnoj razini kao i saldo ukupno podmirenih obveza (37.774.917,74). Razliku predstavljaju plaćeni predujmovi u tijeku godine koji nisu rasknjiženi odnosno nisu još teretili rashode.</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pomoći temeljem prijenosa EU sredstava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778.612,83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Od odstupanja u saldima skupine 16- potraživanja za prihode poslovanja (+967.551,94), valja naznačiti da se najveća povećana stavka u tom pogledu nalazi na odjeljku 1638- potraživanja za pomoći temeljem prijenosa EU sredstava (+778.612,83 od čega ukupno 386.307,33 otpada na potraživanja za sredstva EU za započeti projekt rekonstrukcije Os J. Dobrile dok 392.305,50 iznose istovrsna ukupna potraživanja za projekt Zelena infrastruktura).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(šifre 171 do 174 - 179)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4.897.752,84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4.551.317,25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92,9</w:t>
            </w:r>
          </w:p>
        </w:tc>
      </w:tr>
    </w:tbl>
    <w:p>
      <w:pPr>
        <w:spacing w:before="0" w:after="0"/>
      </w:pPr>
    </w:p>
    <w:p>
      <w:r>
        <w:t xml:space="preserve">Do odstupanja u ukupnoj vrijednosti potraživanja skupine 17- potraživanja od prodaje nefinancijske imovine (-346.435,59 odnosno -7,09% u odnosu na završetak 2024.godine) dolazi zbog većih iznosa isknjiženja ostatka obveza po ugovorima koje dugogodišnji zakupci građevinskog zemljišta imaju u poslovnoj zoni (-324.833,26), u odnosu na ukupna nova zaduženja po istoj osnovi (+193.418,96). Još je obimnije bilo ukupno isknjiženje u 2025.godini dugoročnih potraživanja po osnovi prava građenja na 50 godina (-185.811,87).</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aktiva (šifra 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51.244.569,50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79.371.436,94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w:t>
            </w:r>
          </w:p>
        </w:tc>
      </w:tr>
    </w:tbl>
    <w:p>
      <w:pPr>
        <w:spacing w:before="0" w:after="0"/>
      </w:pPr>
    </w:p>
    <w:p>
      <w:r>
        <w:t xml:space="preserve">Vidi dolje razradu u obveznim analitičkim podacima.</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51.244.569,50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79.371.436,94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154,9</w:t>
            </w:r>
          </w:p>
        </w:tc>
      </w:tr>
    </w:tbl>
    <w:p>
      <w:pPr>
        <w:spacing w:before="0" w:after="0"/>
      </w:pPr>
    </w:p>
    <w:p>
      <w:r>
        <w:t xml:space="preserve">Vidi dolje razradu u obveznim analitičkim podacima.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danim jamstvima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13.601.050,36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12.489.177,78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91,8</w:t>
            </w:r>
          </w:p>
        </w:tc>
      </w:tr>
    </w:tbl>
    <w:p>
      <w:pPr>
        <w:spacing w:before="0" w:after="0"/>
      </w:pPr>
    </w:p>
    <w:p>
      <w:r>
        <w:t xml:space="preserve">Kod potencijalnih obveza po danim jamstvima radi se o stalnom ažuriranju podataka gdje je Grad izdao jamstvo ili suglasnost za zaduženje svojim proračunskim korisnicima ili trgovačkim društvima u svom potpunom vlasništvu (uz prethodnu suglasnost ministarstva financija) i s otplatom glavnice se saldo stalno smanjuje. Saldo se povećava samo kod evidentiranja novog kredita ili kod aktiviranja odnosno kod početka otplate glavnice nekog postojećeg, ranijeg kredita koji je dosad bio u razdoblju počeka (grace period). Tijekom 2025.godine nije aktiviran niti zadužen nijedan „novi“ kredit pa navedeni iznos predstavlja ukupno otplaćenu glavnicu po svim naznačenim kreditima tijekom 2025.godine.</w:t>
      </w:r>
    </w:p>
    <w:tbl>
      <w:tblPr>
        <w:tblStyle w:val="TableGrid"/>
        <w:tblW w:w="5000" w:type="pct"/>
      </w:tblPr>
      <w:tblGrid>
        <w:gridCol w:w="9614"/>
      </w:tblGrid>
      <w:tr>
        <w:trPr/>
        <w:tc>
          <w:tcPr>
            <w:tcW w:w="4995" w:type="pct"/>
            <w:vAlign w:val="center"/>
          </w:tcPr>
          <w:p>
            <w:r>
              <w:t xml:space="preserve">                                                                                      poč.stanje 1.1.25.     promet D   promet P   saldo na 31.12.25.</w:t>
            </w:r>
          </w:p>
        </w:tc>
      </w:tr>
    </w:tbl>
    <w:p>
      <w:r>
        <w:t xml:space="preserve">99621014 VBRSP - 2917 - 60m iz 2020.                           - 6.909.393,26            468.433,44                    -6.440.959,82</w:t>
      </w:r>
    </w:p>
    <w:p>
      <w:r>
        <w:t xml:space="preserve">99621023 ODVODNJA - 3084 -15m iz 2021.                    - 1.978.307,98              38.044,38                    -1.940.263,60</w:t>
      </w:r>
      <w:r>
        <w:br/>
      </w:r>
      <w:r>
        <w:t xml:space="preserve">99621024 ODVODNJA - 2255 - 20m iz                             - 2.234.435,38            207.854,44                    -2.026.580,94</w:t>
      </w:r>
      <w:r>
        <w:br/>
      </w:r>
      <w:r>
        <w:t xml:space="preserve">99621025 JVP/ PVZ RV - 2985 - 11,8m                                - 957.998,15            136.856,88                     -  821.141,27</w:t>
      </w:r>
      <w:r>
        <w:br/>
      </w:r>
      <w:r>
        <w:t xml:space="preserve">99621026 KOM.SERV.   - 3475 -1,091m                                 - 79.808,50              29.021,28                         -50.787,22</w:t>
      </w:r>
      <w:r>
        <w:br/>
      </w:r>
      <w:r>
        <w:t xml:space="preserve">99621027 KOM.SERV. - 3541 -1,975 m                                - 196.595,58              37.446,84                       -159.148,74</w:t>
      </w:r>
      <w:r>
        <w:br/>
      </w:r>
      <w:r>
        <w:t xml:space="preserve">99621028 KOM.SERV. - 238 t Eur iz 2023.                            -190.237,71               34.072,44                       -156.165,27</w:t>
      </w:r>
      <w:r>
        <w:br/>
      </w:r>
      <w:r>
        <w:t xml:space="preserve">99621029 KOM.SERV. -1,121m Eur iz 2023.                      - 1.054.273,80             160.142,88                       -894.130,92</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Instrumenti osiguranja plaćanja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99641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8.792.741,75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11.310.734,81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128,6</w:t>
            </w:r>
          </w:p>
        </w:tc>
      </w:tr>
    </w:tbl>
    <w:p>
      <w:pPr>
        <w:spacing w:before="0" w:after="0"/>
      </w:pPr>
    </w:p>
    <w:p>
      <w:r>
        <w:t xml:space="preserve">U nastavku je prikaz ažuriranog stanja na 31.12.2025. po godinama izdanih instrumenata osiguranja plaćanja :</w:t>
      </w:r>
    </w:p>
    <w:tbl>
      <w:tblPr>
        <w:tblStyle w:val="TableGrid"/>
        <w:tblW w:w="5000" w:type="pct"/>
      </w:tblPr>
      <w:tblGrid>
        <w:gridCol w:w="9614"/>
      </w:tblGrid>
      <w:tr>
        <w:trPr/>
        <w:tc>
          <w:tcPr>
            <w:tcW w:w="4995" w:type="pct"/>
            <w:vAlign w:val="center"/>
          </w:tcPr>
          <w:p>
            <w:r>
              <w:t xml:space="preserve">  </w:t>
            </w:r>
            <w:r>
              <w:br/>
            </w:r>
            <w:r>
              <w:t xml:space="preserve">1. IZDATE ZADUŽNICE I BJANKO ZADUŽNICE                                                             -                                        504.734,57</w:t>
            </w:r>
            <w:r>
              <w:br/>
            </w:r>
            <w:r>
              <w:t xml:space="preserve">2. MJENICE, BANKARSKE GARANCIJE                                                                      2003.              0,00</w:t>
            </w:r>
            <w:r>
              <w:br/>
            </w:r>
            <w:r>
              <w:t xml:space="preserve">3. MJENICE, BANKARSKE GARANCIJE                                                                      2004.              0,00 </w:t>
            </w:r>
            <w:r>
              <w:br/>
            </w:r>
            <w:r>
              <w:t xml:space="preserve">4. MJENICE, BANKARSKE GARANCIJE                                                                      2005.              0,00</w:t>
            </w:r>
            <w:r>
              <w:br/>
            </w:r>
            <w:r>
              <w:t xml:space="preserve">5. BJANKO MJENICE, MJENICE, BJANKO ZADUŽNICE, BANKARSKE GARANCIJE     2006.              0,00 </w:t>
            </w:r>
            <w:r>
              <w:br/>
            </w:r>
            <w:r>
              <w:t xml:space="preserve">6. BANKARSKE GARANCIJE                                                                                      2007.              0,00</w:t>
            </w:r>
            <w:r>
              <w:br/>
            </w:r>
            <w:r>
              <w:t xml:space="preserve">7. BJANKO MJENICE, MJENICE, BJANKO ZADUŽNICE, BANKARSKE GARANCIJE     2008.              0,00 </w:t>
            </w:r>
            <w:r>
              <w:br/>
            </w:r>
            <w:r>
              <w:t xml:space="preserve">8. BJANKO MJENICE, MJENICE, BJANKO ZADUŽNICE, BANKARSKE GARANCIJE     2009.              0,00 </w:t>
            </w:r>
            <w:r>
              <w:br/>
            </w:r>
            <w:r>
              <w:t xml:space="preserve">9. BJANKO MJENICE, MJENICE, BJANKO ZADUŽNICE, BANKARSKE GARANCIJE     2010.     29.623,73</w:t>
            </w:r>
            <w:r>
              <w:br/>
            </w:r>
            <w:r>
              <w:t xml:space="preserve">10. BJANKO ZADUŽNICE, BANKARSKE GARANCIJE, MJENICE                                 2011.              0,00</w:t>
            </w:r>
            <w:r>
              <w:br/>
            </w:r>
            <w:r>
              <w:t xml:space="preserve">11. BJANKO ZADUŽNICE, BANKARSKE GARANCIJE, MJENICE                                 2012.       6.636,14</w:t>
            </w:r>
            <w:r>
              <w:br/>
            </w:r>
            <w:r>
              <w:t xml:space="preserve">12. BJANKO ZADUŽNICE, BANKARSKE GARANCIJE                                                 2013.              0,00 </w:t>
            </w:r>
            <w:r>
              <w:br/>
            </w:r>
            <w:r>
              <w:t xml:space="preserve">13. BJANKO ZADUŽNICE, BANKARSKE GARANCIJE, POLICE                                    2014.              0,00 </w:t>
            </w:r>
            <w:r>
              <w:br/>
            </w:r>
            <w:r>
              <w:t xml:space="preserve">14. BJANKO ZADUŽNICE, BANKARSKE GARANCIJE                                                 2015.              0,00</w:t>
            </w:r>
            <w:r>
              <w:br/>
            </w:r>
            <w:r>
              <w:t xml:space="preserve">15. BJANKO ZADUŽNICE, BANKARSKE GARANCIJE                                                 2016.              0,00</w:t>
            </w:r>
            <w:r>
              <w:br/>
            </w:r>
            <w:r>
              <w:t xml:space="preserve">16. BJANKO ZADUŽNICE, BANKARSKE GARANCIJE, NAMJENSKI DEPOZITI            2017.              0,00  </w:t>
            </w:r>
            <w:r>
              <w:br/>
            </w:r>
            <w:r>
              <w:t xml:space="preserve">17. BJANKO ZADUŽNICE, BANKARSKE GARANCIJE, NAMJENSKI DEPOZITI            2018.     266.339,94</w:t>
            </w:r>
            <w:r>
              <w:br/>
            </w:r>
            <w:r>
              <w:t xml:space="preserve">18. BJANKO ZADUŽNICE, BANKARSKE GARANCIJE, NAMJENSKI DEPOZITI            2019.  2.254.611,34</w:t>
            </w:r>
            <w:r>
              <w:br/>
            </w:r>
            <w:r>
              <w:t xml:space="preserve">19. BJANKO ZADUŽNICE, BANKARSKE GARANCIJE, NAMJENSKI DEPOZITI            2020.     817.510,77</w:t>
            </w:r>
            <w:r>
              <w:br/>
            </w:r>
            <w:r>
              <w:t xml:space="preserve">20. BJANKO ZADUŽNICE, BANKARSKE GARANCIJE, NAMJENSKI DEPOZITI            2021.     443.542,85</w:t>
            </w:r>
            <w:r>
              <w:br/>
            </w:r>
            <w:r>
              <w:t xml:space="preserve">21. BJANKO ZADUŽNICE, BANKARSKE GARANCIJE, NAMJENSKI DEPOZITI            2022.     964.216,43</w:t>
            </w:r>
            <w:r>
              <w:br/>
            </w:r>
            <w:r>
              <w:t xml:space="preserve">22. BJANKO ZADUŽNICE, BANKARSKE GARANCIJE, NAMJENSKI DEPOZITI            2023.  1.327.550,27</w:t>
            </w:r>
            <w:r>
              <w:br/>
            </w:r>
            <w:r>
              <w:t xml:space="preserve">23. BJANKO ZADUŽNICE, BANKARSKE GARANCIJE, NAMJENSKI DEPOZITI            2024.  1.775.542,85</w:t>
            </w:r>
            <w:r>
              <w:br/>
            </w:r>
            <w:r>
              <w:t xml:space="preserve">24. BJANKO ZADUŽNICE, BANKARSKE GARANCIJE, NAMJENSKI DEPOZITI            2025.  2.920.425,92</w:t>
            </w:r>
          </w:p>
          <w:p>
            <w:r>
              <w:rPr>
                <w:b/>
              </w:rPr>
              <w:t xml:space="preserve">SVEUKUPNO</w:t>
            </w:r>
            <w:r>
              <w:br/>
            </w:r>
            <w:r>
              <w:rPr>
                <w:b/>
              </w:rPr>
              <w:t xml:space="preserve">10.806.000,24</w:t>
            </w:r>
            <w:r>
              <w:br/>
            </w:r>
            <w:r>
              <w:rPr>
                <w:b/>
              </w:rPr>
              <w:t xml:space="preserve">504.734,57</w:t>
            </w:r>
          </w:p>
        </w:tc>
      </w:tr>
    </w:tbl>
    <w:p>
      <w:r>
        <w:t xml:space="preserve"> </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Potencijalne obveze po osnovi sudskih sporova u tijeku</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276.328,89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676.708,89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244,9</w:t>
            </w:r>
          </w:p>
        </w:tc>
      </w:tr>
    </w:tbl>
    <w:p>
      <w:pPr>
        <w:spacing w:before="0" w:after="0"/>
      </w:pPr>
    </w:p>
    <w:tbl>
      <w:tblPr>
        <w:tblStyle w:val="TableGrid"/>
        <w:tblW w:w="5000" w:type="pct"/>
      </w:tblPr>
      <w:tblGrid>
        <w:gridCol w:w="9614"/>
      </w:tblGrid>
      <w:tr>
        <w:trPr/>
        <w:tc>
          <w:tcPr>
            <w:tcW w:w="4995" w:type="pct"/>
            <w:vAlign w:val="center"/>
          </w:tcPr>
          <w:p>
            <w:r>
              <w:t xml:space="preserve"> </w:t>
            </w:r>
          </w:p>
        </w:tc>
      </w:tr>
    </w:tbl>
    <w:p>
      <w:r>
        <w:t xml:space="preserve">U nastavku je dat tabelarni prikaz sudskih sporova u tijeku kod kojih je moguć odljev sredstava iz gradskog proračuna:</w:t>
      </w:r>
    </w:p>
    <w:p>
      <w:r>
        <w:t xml:space="preserve"> </w:t>
      </w:r>
    </w:p>
    <w:tbl>
      <w:tblPr>
        <w:tblStyle w:val="TableGrid"/>
        <w:tblW w:w="5000" w:type="pct"/>
      </w:tblPr>
      <w:tblGrid>
        <w:gridCol w:w="9614"/>
      </w:tblGrid>
      <w:tr>
        <w:trPr/>
        <w:tc>
          <w:tcPr>
            <w:tcW w:w="4995" w:type="pct"/>
            <w:vAlign w:val="center"/>
          </w:tcPr>
          <w:p>
            <w:r>
              <w:t xml:space="preserve"> </w:t>
            </w:r>
            <w:r>
              <w:br/>
            </w:r>
            <w:r>
              <w:t xml:space="preserve">Klasa, broj predmeta                              Tužitelj / Predlagatelj      Svrha (kratki opis spora)                        Procjena obveze        Početak                                                                                                                                                                                                                                  sudskog                                                                                                                                                                                                                                spora</w:t>
            </w:r>
          </w:p>
        </w:tc>
      </w:tr>
    </w:tbl>
    <w:p>
      <w:r>
        <w:t xml:space="preserve"> </w:t>
      </w:r>
      <w:r>
        <w:br/>
      </w:r>
      <w:r>
        <w:t xml:space="preserve">034-01/16-01/29, UP/I 943-05/16-01/2        Liliana Pavičin             nakn. za deposedirano zemljište                  276.328,89             2016.</w:t>
      </w:r>
    </w:p>
    <w:p>
      <w:r>
        <w:t xml:space="preserve"> </w:t>
      </w:r>
      <w:r>
        <w:br/>
      </w:r>
      <w:r>
        <w:t xml:space="preserve">034-01/23-01/26, P-262/2023 (sada Pž-98/2025)    Rep.Hrvatska   naknade štete                                                264.118,38             2023.</w:t>
      </w:r>
    </w:p>
    <w:p>
      <w:r>
        <w:t xml:space="preserve">  </w:t>
      </w:r>
      <w:r>
        <w:br/>
      </w:r>
      <w:r>
        <w:t xml:space="preserve"> 034-01/23-01/35, P-1006/2023                    Alen Lisac                    radi isplate                                                      25.533,21             2023.</w:t>
      </w:r>
    </w:p>
    <w:p>
      <w:r>
        <w:t xml:space="preserve">034-01/23-01/34, P-976/2023                       Mauro Poropat           ništetnosti ugovora/stjecanja bez osnove     110.728,41             2023.        </w:t>
      </w:r>
    </w:p>
    <w:p>
      <w:r>
        <w:t xml:space="preserve"> </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Preuzete obveze po ugovorima o dodjeli bespovratnih sredstava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99653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406.039,62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nastavku slijedi pregled odnosno promet utijekom 2025. na kartici 99653001 za novouneseni Sporazum sa Gradom Porečom za projekt: pomoćnici u nastavi - Puna torba zajedništva</w:t>
      </w:r>
    </w:p>
    <w:p>
      <w:r>
        <w:t xml:space="preserve">       </w:t>
      </w:r>
    </w:p>
    <w:p>
      <w:r>
        <w:t xml:space="preserve">                                                                                                                         D                                  P</w:t>
      </w:r>
    </w:p>
    <w:p>
      <w:r>
        <w:t xml:space="preserve">Proj Puna torba unos Poč.s. - Sporaz.G.Poreč 2024/25-2026/27                                                611.800,00</w:t>
      </w:r>
    </w:p>
    <w:p>
      <w:r>
        <w:t xml:space="preserve">Proj Puna torba zajedn. - usklađ.za izvrš. 9-12/24.                                    41.760,38</w:t>
      </w:r>
    </w:p>
    <w:p>
      <w:r>
        <w:t xml:space="preserve">Proj Puna torba zajedn. - usklađ.za izvrš. 1-12/25.                                   164.000,00</w:t>
      </w:r>
    </w:p>
    <w:p>
      <w:r>
        <w:t xml:space="preserve"> </w:t>
      </w:r>
    </w:p>
    <w:p>
      <w:r>
        <w:rPr>
          <w:b/>
        </w:rPr>
        <w:t xml:space="preserve">                                                                                                             Saldo na 31.12.2025.  =  406.039,62 (P)</w:t>
      </w:r>
    </w:p>
    <w:p>
      <w:r>
        <w:t xml:space="preserve"> </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po ugovorima o dodijeljenim bespovratnim sredstvima iz EU fondova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8.485.897,11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U nastavku se daje pregled Ugovora za projekte sufinancirane bespovratnim sredstvima EU,. Usklađenje i promet na kartici je u potpunosti tijekom 2025.godine:</w:t>
      </w:r>
    </w:p>
    <w:p>
      <w:r>
        <w:t xml:space="preserve"> </w:t>
      </w:r>
    </w:p>
    <w:tbl>
      <w:tblPr>
        <w:tblStyle w:val="TableGrid"/>
        <w:tblW w:w="5000" w:type="pct"/>
      </w:tblPr>
      <w:tblGrid>
        <w:gridCol w:w="9614"/>
      </w:tblGrid>
      <w:tr>
        <w:trPr/>
        <w:tc>
          <w:tcPr>
            <w:tcW w:w="4995" w:type="pct"/>
            <w:vAlign w:val="center"/>
          </w:tcPr>
          <w:p>
            <w:r>
              <w:t xml:space="preserve">                                                                                                                             D                                                                P</w:t>
            </w:r>
          </w:p>
          <w:p>
            <w:r>
              <w:t xml:space="preserve">Proj rekonstrukc.Dv Mondelaco - unos ukup./ Sporazum RH-GR                                                                                 649.810,87</w:t>
            </w:r>
          </w:p>
          <w:p>
            <w:r>
              <w:t xml:space="preserve">Proj rekonstrukc.Dv Mondelaco - usklađ.po dosad.ZNS-ima                         647.095,07 </w:t>
            </w:r>
          </w:p>
          <w:p>
            <w:r>
              <w:t xml:space="preserve">Proj rekonstrukc.Dv Mondelaco - usklađ.sa ZNS-om/ dio 8.PS                         2.715,80</w:t>
            </w:r>
          </w:p>
          <w:p>
            <w:r>
              <w:rPr>
                <w:b/>
              </w:rPr>
              <w:t xml:space="preserve">Saldo na 31.12.2025. =  0,00</w:t>
            </w:r>
          </w:p>
          <w:p>
            <w:r>
              <w:t xml:space="preserve">-------------------------------------------------------------------------------------------------------------------------------------------------</w:t>
            </w:r>
          </w:p>
          <w:p>
            <w:r>
              <w:t xml:space="preserve">Proj rekonstrukc.Oš J.Dobrile - unos ukup./ Sporazum RH-GR                                                                                  8.220.131,94</w:t>
            </w:r>
          </w:p>
          <w:p>
            <w:r>
              <w:t xml:space="preserve">Proj rekonstrukc.Oš J.Dobrile - usklađ.po ZNS-ima na 31.12.25.                    386.307,33</w:t>
            </w:r>
          </w:p>
          <w:p>
            <w:r>
              <w:rPr>
                <w:b/>
              </w:rPr>
              <w:t xml:space="preserve">Saldo na 31.12.2025. =  -7.833.824,61</w:t>
            </w:r>
          </w:p>
          <w:p>
            <w:r>
              <w:t xml:space="preserve">------------------------------------------------------------------------------------------------------------------------------------------------</w:t>
            </w:r>
          </w:p>
          <w:p>
            <w:r>
              <w:t xml:space="preserve"> Proj Zelena infrastruktura H2O - unos ukup./ Sporazum RH                                                                                     1.044.378,00   </w:t>
            </w:r>
          </w:p>
          <w:p>
            <w:r>
              <w:t xml:space="preserve">Proj Zelena infrastruktura H2O - usklađ.po ZNS-ima na 31.12.25.                   392.305,50</w:t>
            </w:r>
          </w:p>
          <w:p>
            <w:r>
              <w:t xml:space="preserve">     </w:t>
            </w:r>
          </w:p>
          <w:p>
            <w:r>
              <w:rPr>
                <w:b/>
              </w:rPr>
              <w:t xml:space="preserve">Saldo na 31.12.2025. =  -652.072,50</w:t>
            </w:r>
          </w:p>
          <w:p>
            <w:r>
              <w:t xml:space="preserve">------------------------------------------------------------------------------------------------------------------------------------------------</w:t>
            </w:r>
          </w:p>
          <w:p>
            <w:r>
              <w:t xml:space="preserve">                                                  </w:t>
            </w:r>
          </w:p>
        </w:tc>
      </w:tr>
    </w:tbl>
    <w:p>
      <w:r>
        <w:t xml:space="preserve">          </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izvanbilančni zapisi</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99691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28.569.888,12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45.969.304,17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160,9</w:t>
            </w:r>
          </w:p>
        </w:tc>
      </w:tr>
    </w:tbl>
    <w:p>
      <w:pPr>
        <w:spacing w:before="0" w:after="0"/>
      </w:pPr>
    </w:p>
    <w:p>
      <w:r>
        <w:t xml:space="preserve">Kod Ostalih izvanbilančnih zapisa (osnovni račun 99691) evidentira se izvor sredstava za usklađenja koja se vrše na analitikama 99191 – Građevinski objekti dati na upravljanje trgovačkim društvima u vlasništvu Grada, a konkretno Komunalnom servisu, Odvodnji i Valbrunasportu.</w:t>
      </w:r>
    </w:p>
    <w:p>
      <w:r>
        <w:t xml:space="preserve">Prijenos početnog stanja na 1.1.2025. (ukupno 28.569.888,12) i to kako slijedi: </w:t>
      </w:r>
    </w:p>
    <w:p>
      <w:r>
        <w:t xml:space="preserve">naziv                                  Nabavna vrijednost (N.V.)         Ispravak vrijednosti (sa uklj. povećanjima N.V.)   Sadašnja vrijednost (S.V.) na 31.12.2024. </w:t>
      </w:r>
      <w:r>
        <w:br/>
      </w:r>
      <w:r>
        <w:t xml:space="preserve">Komunalni servis d.o.o.                          1.912.456,57                                                                -255.602,72                                              1.656.853,85</w:t>
      </w:r>
      <w:r>
        <w:br/>
      </w:r>
      <w:r>
        <w:t xml:space="preserve">Odvodnja d.o.o.                                   18.339.755,97                                                             -1.193.294,94                                             17.146.461,03</w:t>
      </w:r>
      <w:r>
        <w:br/>
      </w:r>
      <w:r>
        <w:t xml:space="preserve">Valbrunasport d.o.o.                                 529.542,94                                                               9.237.030,30                                               9.766.573,24</w:t>
      </w:r>
    </w:p>
    <w:p>
      <w:r>
        <w:t xml:space="preserve"> </w:t>
      </w:r>
    </w:p>
    <w:p>
      <w:r>
        <w:t xml:space="preserve">  </w:t>
      </w:r>
      <w:r>
        <w:rPr>
          <w:b/>
        </w:rPr>
        <w:t xml:space="preserve">Na dan 31.12.2025.  evidentirano je usklađenje za 2025.godinu i to kako slijedi:</w:t>
      </w:r>
    </w:p>
    <w:p>
      <w:r>
        <w:t xml:space="preserve">naziv                                  Nabavna vrijednost (N.V.)         Ispravak vrijednosti (sa uklj. povećanjima N.V.)   Sadašnja vrijednost (S.V.) na 31.12.2025. </w:t>
      </w:r>
      <w:r>
        <w:br/>
      </w:r>
      <w:r>
        <w:t xml:space="preserve">Komunalni servis d.o.o.                          1.656.853,85                                                                -255.339,99                                                </w:t>
      </w:r>
      <w:r>
        <w:rPr>
          <w:b/>
        </w:rPr>
        <w:t xml:space="preserve">1.401.513,86</w:t>
      </w:r>
      <w:r>
        <w:br/>
      </w:r>
      <w:r>
        <w:t xml:space="preserve">Odvodnja d.o.o.                                   17.146.461,03                                                             18.090.235,94                                              </w:t>
      </w:r>
      <w:r>
        <w:rPr>
          <w:b/>
        </w:rPr>
        <w:t xml:space="preserve">35.236.696,97</w:t>
      </w:r>
      <w:r>
        <w:br/>
      </w:r>
      <w:r>
        <w:t xml:space="preserve">Valbrunasport d.o.o.                              9.766.573,24                                                                 -435.479,90                                              </w:t>
      </w:r>
      <w:r>
        <w:rPr>
          <w:b/>
        </w:rPr>
        <w:t xml:space="preserve"> 9.331.093,34</w:t>
      </w:r>
      <w:r>
        <w:br/>
      </w:r>
      <w:r>
        <w:t xml:space="preserve"> </w:t>
      </w:r>
      <w:r>
        <w:br/>
      </w:r>
      <w:r>
        <w:t xml:space="preserve"> </w:t>
      </w:r>
      <w:r>
        <w:br/>
      </w:r>
      <w:r>
        <w:br/>
      </w:r>
      <w:r>
        <w:t xml:space="preserve"> </w:t>
      </w:r>
      <w:r>
        <w:br/>
      </w:r>
      <w:r>
        <w:t xml:space="preserve"> </w:t>
      </w:r>
    </w:p>
    <w:p>
      <w:r>
        <w:t xml:space="preserve"> </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P029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35.523,20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Promjena odnosno smanjenje potraživanja za prihode poslovanja u iznosu od 35.523,20 je najznačajniji dio koji se odnosi na promjenu vrijednosti i obujmu imovine i obveza. Radi se o oslobađanju od obveze plaćanja komunalnog doprinosa Strukovne škole Eugen Kumičić za navedeni iznos, a sukladno Rješenju Grada Rovinja-Rovigno, Upravnog odjela za komunalno gospodarstvo i izgradnju od 9.siječnja 2025. godine. Namjena je bila rekonstrukcija istoimene škole, a konkretno je, prema ovlaštenom projektantu,  utvrđena razlika u obujmu od 2.089,60 m3 što financijski odgovara navedenom iznosu koji je bio sadržan u potraživanju za komunalni doprinos.</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Na dan 31.prosinca 2025.godine nema evidentiranih otvorenih dospjelih obveza što znači da su sve otvorene obveze na dan 31.prosinca 2025. nedospjele.</w:t>
      </w:r>
    </w:p>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Međusobne obveze subjekata općeg proračuna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V010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687.455,07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Međusobne obveze subjekata općeg proračuna na dan 31.prosinca 2025.godine su višestruko povećane u odnosu na stanje od godine prije toga, konkretno za 610.398,90 odnosno za 792,11%. Razlog leži u činjenici što najveći dio tog povećanja odnosno 580.046,11 otpada na proračunske korisnike Grada Rovinja čije se dotacije, u pravilu, nastoje podmiriti na vrijeme tj. do zadnjeg kalendarskog dana u godini. Međutim, prelaskom na puni režim riznice sa pripadajućim gašenjem žiro-računa korisnika, bilo je potrebno izvršiti sva usklađenja i posljednje obračune prije prelaska uslijed čega je sve kasnilo uz zahtjeve za isplatom dotacija koji su pristizali tijekom mjeseca siječnja 2026.godine.</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ND24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1.357.316,31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Smanjenje ukupnih (nedospjelih) obveza na skupini 24 za gotovo 30% (točnije 29,54% odnosno za 568.953,49) je posljedica manje investicijske aktivnosti u drugom dijelu 2025.godine kad je sve bilo podređeno pripremama i početku realizacije velikog kapitalnog projekta izgradnje novog autobusnog kolodvora dok je tijekom 2024. i u prvom dijelu ove 2025. godine ulagački „zamašnjak“ bio na nekoliko većih projekata dijelom i zbog činjenice da su isti bili sufinancirani iz sredstava EU.</w:t>
      </w:r>
    </w:p>
    <w:p/>
    <w:p>
      <w:pPr>
        <w:jc w:val="center"/>
        <w:pStyle w:val="Normal"/>
        <w:spacing w:line="240" w:lineRule="auto"/>
        <w:keepNext/>
      </w:pPr>
      <w:r>
        <w:rPr>
          <w:sz w:val="28"/>
          <w:rFonts w:ascii="Times New Roman" w:hAnsi="Times New Roman"/>
        </w:rPr>
        <w:t xml:space="preserve">Bilješka 31.</w:t>
      </w:r>
    </w:p>
    <w:p>
      <w:pPr>
        <w:jc w:val="both"/>
        <w:pStyle w:val="Normal"/>
        <w:spacing w:line="240" w:lineRule="auto"/>
      </w:pPr>
      <w:r>
        <w:rPr>
          <w:b/>
          <w:sz w:val="24"/>
          <w:rFonts w:ascii="Times New Roman" w:hAnsi="Times New Roman"/>
        </w:rPr>
        <w:t xml:space="preserve">EU izvještaj</w:t>
      </w:r>
    </w:p>
    <w:p>
      <w:r>
        <w:t xml:space="preserve">U EU izvještaju su uneseni traženi podaci samo za 2025.godine (dok po Uputama nije bilo potrebno unijeti podatke za prethodnu godinu). Odstupanja za dijelove podataka koji se odnose na sredstva EU, konkretno potraživanja, prihodi,.. ) su objašnjeni kroz bilješke koje se odnose na druge obrasce.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 xmlns:w="http://schemas.openxmlformats.org/wordprocessingml/2006/main" w:type="table" w:styleId="TableGrid">
    <w:name w:val="Table Grid"/>
    <w:basedOn w:val="TableNormal"/>
    <w:pPr>
      <w:spacing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505f3cec4c34aea" /></Relationships>
</file>