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08B6" w14:textId="77777777" w:rsidR="007B1EF1" w:rsidRDefault="007B1EF1" w:rsidP="00FE0117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bookmarkStart w:id="0" w:name="OLE_LINK13"/>
      <w:r>
        <w:rPr>
          <w:rFonts w:ascii="Arial" w:eastAsia="Times New Roman" w:hAnsi="Arial" w:cs="Arial"/>
          <w:szCs w:val="20"/>
        </w:rPr>
        <w:t xml:space="preserve">Na temelju članka 68. Statuta Grada Rovinja-Rovigno („Službeni glasnik“ Grada Rovinja-Rovigno, br. 3/18, 5/18, </w:t>
      </w:r>
      <w:r>
        <w:rPr>
          <w:rFonts w:ascii="Arial" w:hAnsi="Arial" w:cs="Arial"/>
        </w:rPr>
        <w:t>2/21, 4/25 i 5/25 – pročišćeni tekst</w:t>
      </w:r>
      <w:r>
        <w:rPr>
          <w:rFonts w:ascii="Arial" w:eastAsia="Times New Roman" w:hAnsi="Arial" w:cs="Arial"/>
          <w:szCs w:val="20"/>
        </w:rPr>
        <w:t>) donosim</w:t>
      </w:r>
    </w:p>
    <w:p w14:paraId="4BB4E2DE" w14:textId="77777777" w:rsidR="007B1EF1" w:rsidRDefault="007B1EF1" w:rsidP="00FE0117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757033B1" w14:textId="77777777" w:rsidR="007B1EF1" w:rsidRDefault="007B1EF1" w:rsidP="00FE0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30837A" w14:textId="38BA280A" w:rsidR="00FE0117" w:rsidRP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ODLUK</w:t>
      </w:r>
      <w:r>
        <w:rPr>
          <w:rFonts w:ascii="Arial" w:hAnsi="Arial" w:cs="Arial"/>
          <w:b/>
          <w:bCs/>
        </w:rPr>
        <w:t xml:space="preserve">U </w:t>
      </w:r>
      <w:r w:rsidRPr="00FE0117">
        <w:rPr>
          <w:rFonts w:ascii="Arial" w:hAnsi="Arial" w:cs="Arial"/>
          <w:b/>
          <w:bCs/>
        </w:rPr>
        <w:t>O SUFINANCIRANJU STRUČNOG USAVRŠAVANJA MLADIH GRADA ROVINJA–ROVIGNO ZA 2025. GODINU</w:t>
      </w:r>
    </w:p>
    <w:p w14:paraId="5C30B4E3" w14:textId="77777777" w:rsid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</w:p>
    <w:p w14:paraId="36B47358" w14:textId="77777777" w:rsidR="00FE0117" w:rsidRP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</w:p>
    <w:p w14:paraId="539852F0" w14:textId="77777777" w:rsidR="00FE0117" w:rsidRPr="00FE0117" w:rsidRDefault="00FE0117" w:rsidP="00FE0117">
      <w:pPr>
        <w:spacing w:after="0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I. OPĆE ODREDBE</w:t>
      </w:r>
    </w:p>
    <w:p w14:paraId="15B29F4D" w14:textId="77777777" w:rsidR="00FE0117" w:rsidRPr="00FE0117" w:rsidRDefault="00FE0117" w:rsidP="00FE0117">
      <w:pPr>
        <w:spacing w:after="0"/>
        <w:jc w:val="center"/>
        <w:rPr>
          <w:rFonts w:ascii="Arial" w:hAnsi="Arial" w:cs="Arial"/>
        </w:rPr>
      </w:pPr>
      <w:r w:rsidRPr="00FE0117">
        <w:rPr>
          <w:rFonts w:ascii="Arial" w:hAnsi="Arial" w:cs="Arial"/>
          <w:b/>
          <w:bCs/>
        </w:rPr>
        <w:t>Članak 1.</w:t>
      </w:r>
    </w:p>
    <w:p w14:paraId="009605D9" w14:textId="38EE913A" w:rsidR="00FE0117" w:rsidRDefault="00FE0117" w:rsidP="00FE0117">
      <w:pPr>
        <w:spacing w:after="0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Ovom Odlukom uređuju se uvjeti, kriteriji i postupak dodjele poticajnih sredstava za sufinanciranje troškova stručnog usavršavanja mladih, u skladu s Programom rada Savjeta mladih Grada Rovinja</w:t>
      </w:r>
      <w:r>
        <w:rPr>
          <w:rFonts w:ascii="Arial" w:hAnsi="Arial" w:cs="Arial"/>
        </w:rPr>
        <w:t>-</w:t>
      </w:r>
      <w:r w:rsidRPr="00FE0117">
        <w:rPr>
          <w:rFonts w:ascii="Arial" w:hAnsi="Arial" w:cs="Arial"/>
        </w:rPr>
        <w:t>Rovigno za 2025. godinu.</w:t>
      </w:r>
    </w:p>
    <w:p w14:paraId="4736AD48" w14:textId="77777777" w:rsidR="00FE0117" w:rsidRPr="00FE0117" w:rsidRDefault="00FE0117" w:rsidP="00FE0117">
      <w:pPr>
        <w:spacing w:after="0"/>
        <w:jc w:val="both"/>
        <w:rPr>
          <w:rFonts w:ascii="Arial" w:hAnsi="Arial" w:cs="Arial"/>
        </w:rPr>
      </w:pPr>
    </w:p>
    <w:p w14:paraId="166B0424" w14:textId="77777777" w:rsidR="00FE0117" w:rsidRP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Članak 2.</w:t>
      </w:r>
    </w:p>
    <w:p w14:paraId="228A964C" w14:textId="77777777" w:rsidR="00FE0117" w:rsidRPr="00FE0117" w:rsidRDefault="00FE0117" w:rsidP="00FE0117">
      <w:pPr>
        <w:spacing w:after="0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Svrha ove Odluke jest poticanje mladih osoba na veće uključivanje u formalne i neformalne procese obrazovanja, stjecanje dodatnih znanja i vještina te jačanje njihove konkurentnosti na tržištu rada.</w:t>
      </w:r>
    </w:p>
    <w:p w14:paraId="39B4AFF3" w14:textId="77777777" w:rsidR="00FE0117" w:rsidRDefault="00FE0117" w:rsidP="00FE0117">
      <w:pPr>
        <w:spacing w:after="0"/>
        <w:rPr>
          <w:rFonts w:ascii="Arial" w:hAnsi="Arial" w:cs="Arial"/>
          <w:b/>
          <w:bCs/>
        </w:rPr>
      </w:pPr>
    </w:p>
    <w:p w14:paraId="4F03FB6C" w14:textId="77777777" w:rsidR="00FE0117" w:rsidRPr="00FE0117" w:rsidRDefault="00FE0117" w:rsidP="00FE0117">
      <w:pPr>
        <w:spacing w:after="0"/>
        <w:rPr>
          <w:rFonts w:ascii="Arial" w:hAnsi="Arial" w:cs="Arial"/>
          <w:b/>
          <w:bCs/>
        </w:rPr>
      </w:pPr>
    </w:p>
    <w:p w14:paraId="63CEC04D" w14:textId="77777777" w:rsidR="00FE0117" w:rsidRDefault="00FE0117" w:rsidP="00FE0117">
      <w:pPr>
        <w:spacing w:after="0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II. PRIHVATLJIVI PODNOSITELJI</w:t>
      </w:r>
    </w:p>
    <w:p w14:paraId="288370AD" w14:textId="77777777" w:rsidR="00FE0117" w:rsidRPr="00FE0117" w:rsidRDefault="00FE0117" w:rsidP="00FE0117">
      <w:pPr>
        <w:spacing w:after="0"/>
        <w:rPr>
          <w:rFonts w:ascii="Arial" w:hAnsi="Arial" w:cs="Arial"/>
          <w:b/>
          <w:bCs/>
        </w:rPr>
      </w:pPr>
    </w:p>
    <w:p w14:paraId="5230C35F" w14:textId="77777777" w:rsidR="00FE0117" w:rsidRDefault="00FE0117" w:rsidP="00FE0117">
      <w:pPr>
        <w:spacing w:after="0"/>
        <w:jc w:val="center"/>
        <w:rPr>
          <w:rFonts w:ascii="Arial" w:hAnsi="Arial" w:cs="Arial"/>
        </w:rPr>
      </w:pPr>
      <w:r w:rsidRPr="00FE0117">
        <w:rPr>
          <w:rFonts w:ascii="Arial" w:hAnsi="Arial" w:cs="Arial"/>
          <w:b/>
          <w:bCs/>
        </w:rPr>
        <w:t>Članak 3.</w:t>
      </w:r>
    </w:p>
    <w:p w14:paraId="52AF15A8" w14:textId="33C3E509" w:rsidR="00FE0117" w:rsidRDefault="00FE0117" w:rsidP="00DA5E37">
      <w:pPr>
        <w:spacing w:after="0" w:line="240" w:lineRule="auto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Za poticajna sredstva po ovoj Odluci mogu se kandidirati osobe koje ispunjavaju sljedeće uvjete:</w:t>
      </w:r>
    </w:p>
    <w:p w14:paraId="4C905171" w14:textId="77777777" w:rsidR="003C41C7" w:rsidRPr="00FE0117" w:rsidRDefault="003C41C7" w:rsidP="00DA5E3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DEAE64" w14:textId="77777777" w:rsidR="00FE0117" w:rsidRDefault="00FE0117" w:rsidP="00DA5E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nisu koristile potpore za usavršavanje zaposlenih osoba kod poslodavaca Hrvatskog zavoda za zapošljavanje,</w:t>
      </w:r>
    </w:p>
    <w:p w14:paraId="23DC0A0E" w14:textId="77777777" w:rsidR="003C41C7" w:rsidRPr="00FE0117" w:rsidRDefault="003C41C7" w:rsidP="00DA5E37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76D4FC6E" w14:textId="5D8F4C68" w:rsidR="00FE0117" w:rsidRDefault="00FE0117" w:rsidP="00DA5E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nemaju dugovanja prema Gradu Rovinj</w:t>
      </w:r>
      <w:r w:rsidR="003C41C7">
        <w:rPr>
          <w:rFonts w:ascii="Arial" w:hAnsi="Arial" w:cs="Arial"/>
        </w:rPr>
        <w:t>u-</w:t>
      </w:r>
      <w:r w:rsidRPr="00FE0117">
        <w:rPr>
          <w:rFonts w:ascii="Arial" w:hAnsi="Arial" w:cs="Arial"/>
        </w:rPr>
        <w:t>Rovigno,</w:t>
      </w:r>
    </w:p>
    <w:p w14:paraId="335D9712" w14:textId="77777777" w:rsidR="003C41C7" w:rsidRPr="00FE0117" w:rsidRDefault="003C41C7" w:rsidP="00DA5E37">
      <w:pPr>
        <w:spacing w:after="0" w:line="240" w:lineRule="auto"/>
        <w:jc w:val="both"/>
        <w:rPr>
          <w:rFonts w:ascii="Arial" w:hAnsi="Arial" w:cs="Arial"/>
        </w:rPr>
      </w:pPr>
    </w:p>
    <w:p w14:paraId="20863B83" w14:textId="77777777" w:rsidR="00FE0117" w:rsidRDefault="00FE0117" w:rsidP="00DA5E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 xml:space="preserve">te pripadaju jednoj od sljedećih skupina: </w:t>
      </w:r>
    </w:p>
    <w:p w14:paraId="6A51327E" w14:textId="329D510A" w:rsidR="00FE0117" w:rsidRDefault="00FE0117" w:rsidP="00DA5E37">
      <w:pPr>
        <w:spacing w:after="0" w:line="240" w:lineRule="auto"/>
        <w:ind w:left="284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a) nezaposlene osobe do 30 godina starosti</w:t>
      </w:r>
      <w:r w:rsidR="006A3A4D">
        <w:rPr>
          <w:rFonts w:ascii="Arial" w:hAnsi="Arial" w:cs="Arial"/>
        </w:rPr>
        <w:t>, do dana objave javnog poziva</w:t>
      </w:r>
      <w:r w:rsidRPr="00FE0117">
        <w:rPr>
          <w:rFonts w:ascii="Arial" w:hAnsi="Arial" w:cs="Arial"/>
        </w:rPr>
        <w:t xml:space="preserve">, </w:t>
      </w:r>
    </w:p>
    <w:p w14:paraId="681CC6EB" w14:textId="583AC067" w:rsidR="00FE0117" w:rsidRDefault="00FE0117" w:rsidP="00DA5E37">
      <w:pPr>
        <w:spacing w:after="0" w:line="240" w:lineRule="auto"/>
        <w:ind w:left="284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b) zaposlene osobe do 30 godina starosti</w:t>
      </w:r>
      <w:r w:rsidR="006A3A4D">
        <w:rPr>
          <w:rFonts w:ascii="Arial" w:hAnsi="Arial" w:cs="Arial"/>
        </w:rPr>
        <w:t>, do dana objave javnog poziva</w:t>
      </w:r>
      <w:r w:rsidRPr="00FE0117">
        <w:rPr>
          <w:rFonts w:ascii="Arial" w:hAnsi="Arial" w:cs="Arial"/>
        </w:rPr>
        <w:t xml:space="preserve">, </w:t>
      </w:r>
    </w:p>
    <w:p w14:paraId="555DA636" w14:textId="77777777" w:rsidR="00FE0117" w:rsidRDefault="00FE0117" w:rsidP="00DA5E37">
      <w:pPr>
        <w:spacing w:after="0" w:line="240" w:lineRule="auto"/>
        <w:ind w:left="284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 xml:space="preserve">c) učenici u redovitom srednjoškolskom obrazovanju, </w:t>
      </w:r>
    </w:p>
    <w:p w14:paraId="63E4FA73" w14:textId="221EED8E" w:rsidR="00FE0117" w:rsidRPr="00FE0117" w:rsidRDefault="00FE0117" w:rsidP="00DA5E37">
      <w:pPr>
        <w:spacing w:after="0" w:line="240" w:lineRule="auto"/>
        <w:ind w:left="284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d) studenti u visokoškolskom obrazovanju do 30 godina starosti</w:t>
      </w:r>
      <w:r w:rsidR="006A3A4D">
        <w:rPr>
          <w:rFonts w:ascii="Arial" w:hAnsi="Arial" w:cs="Arial"/>
        </w:rPr>
        <w:t>, do dana objave javnog poziva</w:t>
      </w:r>
      <w:r w:rsidRPr="00FE0117">
        <w:rPr>
          <w:rFonts w:ascii="Arial" w:hAnsi="Arial" w:cs="Arial"/>
        </w:rPr>
        <w:t>.</w:t>
      </w:r>
    </w:p>
    <w:p w14:paraId="6268FC98" w14:textId="77777777" w:rsidR="00FE0117" w:rsidRPr="00FE0117" w:rsidRDefault="00FE0117" w:rsidP="00FE0117">
      <w:pPr>
        <w:spacing w:after="0"/>
        <w:rPr>
          <w:rFonts w:ascii="Arial" w:hAnsi="Arial" w:cs="Arial"/>
        </w:rPr>
      </w:pPr>
    </w:p>
    <w:p w14:paraId="70AF45DB" w14:textId="77777777" w:rsidR="00FE0117" w:rsidRDefault="00FE0117" w:rsidP="00FE0117">
      <w:pPr>
        <w:spacing w:after="0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III. PRIHVATLJIVE OBRAZOVNE AKTIVNOSTI</w:t>
      </w:r>
    </w:p>
    <w:p w14:paraId="3EDDCE86" w14:textId="77777777" w:rsidR="00614C78" w:rsidRPr="00FE0117" w:rsidRDefault="00614C78" w:rsidP="00FE0117">
      <w:pPr>
        <w:spacing w:after="0"/>
        <w:rPr>
          <w:rFonts w:ascii="Arial" w:hAnsi="Arial" w:cs="Arial"/>
          <w:b/>
          <w:bCs/>
        </w:rPr>
      </w:pPr>
    </w:p>
    <w:p w14:paraId="0F17DF51" w14:textId="77777777" w:rsidR="00FE0117" w:rsidRP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Članak 4.</w:t>
      </w:r>
    </w:p>
    <w:p w14:paraId="601FCE1E" w14:textId="77777777" w:rsidR="00614C78" w:rsidRDefault="00FE0117" w:rsidP="00FE0117">
      <w:pPr>
        <w:spacing w:after="0"/>
        <w:rPr>
          <w:rFonts w:ascii="Arial" w:hAnsi="Arial" w:cs="Arial"/>
        </w:rPr>
      </w:pPr>
      <w:r w:rsidRPr="00FE0117">
        <w:rPr>
          <w:rFonts w:ascii="Arial" w:hAnsi="Arial" w:cs="Arial"/>
        </w:rPr>
        <w:t>Poticajna sredstva mogu se odobriti za:</w:t>
      </w:r>
    </w:p>
    <w:p w14:paraId="2C800BB0" w14:textId="77777777" w:rsidR="00614C78" w:rsidRDefault="00614C78" w:rsidP="00FE0117">
      <w:pPr>
        <w:spacing w:after="0"/>
        <w:rPr>
          <w:rFonts w:ascii="Arial" w:hAnsi="Arial" w:cs="Arial"/>
        </w:rPr>
      </w:pPr>
    </w:p>
    <w:p w14:paraId="1824D6BC" w14:textId="77777777" w:rsidR="00614C78" w:rsidRDefault="00FE0117" w:rsidP="00DA5E37">
      <w:pPr>
        <w:spacing w:after="120" w:line="240" w:lineRule="auto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a) programe osposobljavanja i usavršavanja usmjerene na stjecanje kvalifikacija za obavljanje poslova određene profesije,</w:t>
      </w:r>
    </w:p>
    <w:p w14:paraId="21DEEA8A" w14:textId="584EA111" w:rsidR="00FE0117" w:rsidRPr="00FE0117" w:rsidRDefault="00FE0117" w:rsidP="00DA5E37">
      <w:pPr>
        <w:spacing w:after="120" w:line="240" w:lineRule="auto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b) programe stjecanja dodatnih znanja i vještina (primjerice učenje stranih jezika, digitalne i komunikacijske vještine i sl.).</w:t>
      </w:r>
    </w:p>
    <w:p w14:paraId="7FD867E0" w14:textId="77777777" w:rsidR="00FE0117" w:rsidRPr="00FE0117" w:rsidRDefault="00FE0117" w:rsidP="00FE0117">
      <w:pPr>
        <w:spacing w:after="0"/>
        <w:rPr>
          <w:rFonts w:ascii="Arial" w:hAnsi="Arial" w:cs="Arial"/>
        </w:rPr>
      </w:pPr>
    </w:p>
    <w:p w14:paraId="2C1601F9" w14:textId="77777777" w:rsidR="00FE0117" w:rsidRP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Članak 5.</w:t>
      </w:r>
    </w:p>
    <w:p w14:paraId="63568233" w14:textId="6057112F" w:rsidR="00FE0117" w:rsidRPr="00A372AC" w:rsidRDefault="00FE0117" w:rsidP="00614C78">
      <w:pPr>
        <w:spacing w:after="0"/>
        <w:jc w:val="both"/>
        <w:rPr>
          <w:rFonts w:ascii="Arial" w:hAnsi="Arial" w:cs="Arial"/>
        </w:rPr>
      </w:pPr>
      <w:r w:rsidRPr="00A372AC">
        <w:rPr>
          <w:rFonts w:ascii="Arial" w:hAnsi="Arial" w:cs="Arial"/>
        </w:rPr>
        <w:t xml:space="preserve">Obrazovne aktivnosti prihvatljive su ukoliko su održane i podmirene u razdoblju od 1. </w:t>
      </w:r>
      <w:r w:rsidR="00DA5E37" w:rsidRPr="00A372AC">
        <w:rPr>
          <w:rFonts w:ascii="Arial" w:hAnsi="Arial" w:cs="Arial"/>
        </w:rPr>
        <w:t>siječnja</w:t>
      </w:r>
      <w:r w:rsidRPr="00A372AC">
        <w:rPr>
          <w:rFonts w:ascii="Arial" w:hAnsi="Arial" w:cs="Arial"/>
        </w:rPr>
        <w:t xml:space="preserve"> 2025. do </w:t>
      </w:r>
      <w:r w:rsidR="00A372AC">
        <w:rPr>
          <w:rFonts w:ascii="Arial" w:hAnsi="Arial" w:cs="Arial"/>
        </w:rPr>
        <w:t>10</w:t>
      </w:r>
      <w:r w:rsidRPr="00A372AC">
        <w:rPr>
          <w:rFonts w:ascii="Arial" w:hAnsi="Arial" w:cs="Arial"/>
        </w:rPr>
        <w:t xml:space="preserve">. </w:t>
      </w:r>
      <w:r w:rsidR="00A372AC">
        <w:rPr>
          <w:rFonts w:ascii="Arial" w:hAnsi="Arial" w:cs="Arial"/>
        </w:rPr>
        <w:t>prosinca</w:t>
      </w:r>
      <w:r w:rsidRPr="00A372AC">
        <w:rPr>
          <w:rFonts w:ascii="Arial" w:hAnsi="Arial" w:cs="Arial"/>
        </w:rPr>
        <w:t xml:space="preserve"> 2025.</w:t>
      </w:r>
    </w:p>
    <w:p w14:paraId="2414B76E" w14:textId="77777777" w:rsidR="00DA5E37" w:rsidRDefault="00DA5E37" w:rsidP="00614C78">
      <w:pPr>
        <w:spacing w:after="0"/>
        <w:jc w:val="both"/>
        <w:rPr>
          <w:rFonts w:ascii="Arial" w:hAnsi="Arial" w:cs="Arial"/>
          <w:b/>
          <w:bCs/>
        </w:rPr>
      </w:pPr>
    </w:p>
    <w:p w14:paraId="08CDC914" w14:textId="77777777" w:rsidR="00FE0117" w:rsidRP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lastRenderedPageBreak/>
        <w:t>Članak 6.</w:t>
      </w:r>
    </w:p>
    <w:p w14:paraId="59A7C2FB" w14:textId="322762A0" w:rsidR="00FE0117" w:rsidRDefault="00FE0117" w:rsidP="00FE0117">
      <w:pPr>
        <w:spacing w:after="0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Poticajna sredstva moguće je koristiti isključivo za jednu obrazovnu aktivnost ili jedan obrazovni program.</w:t>
      </w:r>
      <w:r w:rsidR="00614C78" w:rsidRPr="00FE0117">
        <w:rPr>
          <w:rFonts w:ascii="Arial" w:hAnsi="Arial" w:cs="Arial"/>
        </w:rPr>
        <w:t xml:space="preserve"> </w:t>
      </w:r>
      <w:r w:rsidRPr="00FE0117">
        <w:rPr>
          <w:rFonts w:ascii="Arial" w:hAnsi="Arial" w:cs="Arial"/>
        </w:rPr>
        <w:t>Ne mogu se ostvariti za programe koji su već sufinancirani sredstvima drugih institucija, niti za troškove redovitog srednjoškolskog, sveučilišnog ili stručnog studija, odnosno obrazovanja na veleučilištu i visokoj školi.</w:t>
      </w:r>
    </w:p>
    <w:p w14:paraId="5107BDC9" w14:textId="77777777" w:rsidR="00614C78" w:rsidRDefault="00614C78" w:rsidP="00FE0117">
      <w:pPr>
        <w:spacing w:after="0"/>
        <w:jc w:val="both"/>
        <w:rPr>
          <w:rFonts w:ascii="Arial" w:hAnsi="Arial" w:cs="Arial"/>
        </w:rPr>
      </w:pPr>
    </w:p>
    <w:p w14:paraId="353BAF51" w14:textId="77777777" w:rsidR="00614C78" w:rsidRPr="00FE0117" w:rsidRDefault="00614C78" w:rsidP="00FE0117">
      <w:pPr>
        <w:spacing w:after="0"/>
        <w:jc w:val="both"/>
        <w:rPr>
          <w:rFonts w:ascii="Arial" w:hAnsi="Arial" w:cs="Arial"/>
        </w:rPr>
      </w:pPr>
    </w:p>
    <w:p w14:paraId="13EFF24D" w14:textId="77777777" w:rsidR="00FE0117" w:rsidRDefault="00FE0117" w:rsidP="00FE0117">
      <w:pPr>
        <w:spacing w:after="0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IV. VISINA I NAČIN DODJELE SREDSTAVA</w:t>
      </w:r>
    </w:p>
    <w:p w14:paraId="13C8A966" w14:textId="77777777" w:rsidR="00614C78" w:rsidRPr="00FE0117" w:rsidRDefault="00614C78" w:rsidP="00FE0117">
      <w:pPr>
        <w:spacing w:after="0"/>
        <w:rPr>
          <w:rFonts w:ascii="Arial" w:hAnsi="Arial" w:cs="Arial"/>
          <w:b/>
          <w:bCs/>
        </w:rPr>
      </w:pPr>
    </w:p>
    <w:p w14:paraId="772F22A6" w14:textId="18D423EF" w:rsidR="00FE0117" w:rsidRDefault="00FE0117" w:rsidP="00FE0117">
      <w:pPr>
        <w:spacing w:after="0"/>
        <w:jc w:val="center"/>
        <w:rPr>
          <w:rFonts w:ascii="Arial" w:hAnsi="Arial" w:cs="Arial"/>
        </w:rPr>
      </w:pPr>
      <w:r w:rsidRPr="00FE0117">
        <w:rPr>
          <w:rFonts w:ascii="Arial" w:hAnsi="Arial" w:cs="Arial"/>
          <w:b/>
          <w:bCs/>
        </w:rPr>
        <w:t>Članak 7.</w:t>
      </w:r>
    </w:p>
    <w:p w14:paraId="685ACEC8" w14:textId="77777777" w:rsidR="00614C78" w:rsidRPr="00FE0117" w:rsidRDefault="00614C78" w:rsidP="00FE0117">
      <w:pPr>
        <w:spacing w:after="0"/>
        <w:jc w:val="center"/>
        <w:rPr>
          <w:rFonts w:ascii="Arial" w:hAnsi="Arial" w:cs="Arial"/>
        </w:rPr>
      </w:pPr>
    </w:p>
    <w:p w14:paraId="665140B9" w14:textId="6E5A49F5" w:rsidR="00FE0117" w:rsidRPr="00A372AC" w:rsidRDefault="00FE0117" w:rsidP="00614C78">
      <w:pPr>
        <w:spacing w:after="0"/>
        <w:jc w:val="both"/>
        <w:rPr>
          <w:rFonts w:ascii="Arial" w:hAnsi="Arial" w:cs="Arial"/>
        </w:rPr>
      </w:pPr>
      <w:r w:rsidRPr="00A372AC">
        <w:rPr>
          <w:rFonts w:ascii="Arial" w:hAnsi="Arial" w:cs="Arial"/>
        </w:rPr>
        <w:t>Grad Rovinj</w:t>
      </w:r>
      <w:r w:rsidR="00614C78" w:rsidRPr="00A372AC">
        <w:rPr>
          <w:rFonts w:ascii="Arial" w:hAnsi="Arial" w:cs="Arial"/>
        </w:rPr>
        <w:t>-</w:t>
      </w:r>
      <w:r w:rsidRPr="00A372AC">
        <w:rPr>
          <w:rFonts w:ascii="Arial" w:hAnsi="Arial" w:cs="Arial"/>
        </w:rPr>
        <w:t>Rovigno u Proračunu za 2025. godinu osigurao je 3.000,00 eura za provedbu ove Odluke.</w:t>
      </w:r>
    </w:p>
    <w:p w14:paraId="562CF450" w14:textId="77777777" w:rsidR="00FE0117" w:rsidRPr="00A372AC" w:rsidRDefault="00FE0117" w:rsidP="00FE0117">
      <w:pPr>
        <w:spacing w:after="0"/>
        <w:jc w:val="center"/>
        <w:rPr>
          <w:rFonts w:ascii="Arial" w:hAnsi="Arial" w:cs="Arial"/>
        </w:rPr>
      </w:pPr>
      <w:r w:rsidRPr="00A372AC">
        <w:rPr>
          <w:rFonts w:ascii="Arial" w:hAnsi="Arial" w:cs="Arial"/>
        </w:rPr>
        <w:t>Članak 8.</w:t>
      </w:r>
    </w:p>
    <w:p w14:paraId="7C48C7C0" w14:textId="77777777" w:rsidR="00614C78" w:rsidRPr="00A372AC" w:rsidRDefault="00614C78" w:rsidP="00FE0117">
      <w:pPr>
        <w:spacing w:after="0"/>
        <w:jc w:val="both"/>
        <w:rPr>
          <w:rFonts w:ascii="Arial" w:hAnsi="Arial" w:cs="Arial"/>
        </w:rPr>
      </w:pPr>
    </w:p>
    <w:p w14:paraId="15A58B9D" w14:textId="371E825F" w:rsidR="00FE0117" w:rsidRPr="00A372AC" w:rsidRDefault="00FE0117" w:rsidP="00FE0117">
      <w:pPr>
        <w:spacing w:after="0"/>
        <w:jc w:val="both"/>
        <w:rPr>
          <w:rFonts w:ascii="Arial" w:hAnsi="Arial" w:cs="Arial"/>
        </w:rPr>
      </w:pPr>
      <w:r w:rsidRPr="00A372AC">
        <w:rPr>
          <w:rFonts w:ascii="Arial" w:hAnsi="Arial" w:cs="Arial"/>
        </w:rPr>
        <w:t>Grad Rovinj</w:t>
      </w:r>
      <w:r w:rsidR="003E0729" w:rsidRPr="00A372AC">
        <w:rPr>
          <w:rFonts w:ascii="Arial" w:hAnsi="Arial" w:cs="Arial"/>
        </w:rPr>
        <w:t>-</w:t>
      </w:r>
      <w:r w:rsidRPr="00A372AC">
        <w:rPr>
          <w:rFonts w:ascii="Arial" w:hAnsi="Arial" w:cs="Arial"/>
        </w:rPr>
        <w:t xml:space="preserve">Rovigno sufinancira </w:t>
      </w:r>
      <w:r w:rsidR="00A52F57" w:rsidRPr="00A372AC">
        <w:rPr>
          <w:rFonts w:ascii="Arial" w:hAnsi="Arial" w:cs="Arial"/>
        </w:rPr>
        <w:t>50</w:t>
      </w:r>
      <w:r w:rsidRPr="00A372AC">
        <w:rPr>
          <w:rFonts w:ascii="Arial" w:hAnsi="Arial" w:cs="Arial"/>
        </w:rPr>
        <w:t>% ukupnih troškova obrazovanja po pojedinom korisniku, ali najviše do iznosa od 2</w:t>
      </w:r>
      <w:r w:rsidR="00A372AC">
        <w:rPr>
          <w:rFonts w:ascii="Arial" w:hAnsi="Arial" w:cs="Arial"/>
        </w:rPr>
        <w:t>5</w:t>
      </w:r>
      <w:r w:rsidRPr="00A372AC">
        <w:rPr>
          <w:rFonts w:ascii="Arial" w:hAnsi="Arial" w:cs="Arial"/>
        </w:rPr>
        <w:t>0,00 eura po korisniku.</w:t>
      </w:r>
    </w:p>
    <w:p w14:paraId="3888EF61" w14:textId="332A8D30" w:rsidR="00A52F57" w:rsidRPr="00A372AC" w:rsidRDefault="00A372AC" w:rsidP="00FE0117">
      <w:pPr>
        <w:spacing w:after="0"/>
        <w:jc w:val="both"/>
        <w:rPr>
          <w:rFonts w:ascii="Arial" w:hAnsi="Arial" w:cs="Arial"/>
        </w:rPr>
      </w:pPr>
      <w:r w:rsidRPr="00A372AC">
        <w:rPr>
          <w:rFonts w:ascii="Arial" w:hAnsi="Arial" w:cs="Arial"/>
        </w:rPr>
        <w:t xml:space="preserve">Sredstva će se dodjeljivati prema redoslijedu zaprimanja urednih zahtjeva, sve do iskorištenja proračunskih sredstava. </w:t>
      </w:r>
    </w:p>
    <w:p w14:paraId="0AE9C4C1" w14:textId="77777777" w:rsidR="00FE0117" w:rsidRDefault="00FE0117" w:rsidP="00FE0117">
      <w:pPr>
        <w:spacing w:after="0"/>
        <w:rPr>
          <w:rFonts w:ascii="Arial" w:hAnsi="Arial" w:cs="Arial"/>
          <w:b/>
          <w:bCs/>
        </w:rPr>
      </w:pPr>
    </w:p>
    <w:p w14:paraId="57646775" w14:textId="77777777" w:rsidR="003E0729" w:rsidRPr="00FE0117" w:rsidRDefault="003E0729" w:rsidP="00FE0117">
      <w:pPr>
        <w:spacing w:after="0"/>
        <w:rPr>
          <w:rFonts w:ascii="Arial" w:hAnsi="Arial" w:cs="Arial"/>
          <w:b/>
          <w:bCs/>
        </w:rPr>
      </w:pPr>
    </w:p>
    <w:p w14:paraId="452DD4DD" w14:textId="77777777" w:rsidR="00FE0117" w:rsidRDefault="00FE0117" w:rsidP="00FE0117">
      <w:pPr>
        <w:spacing w:after="0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V. POSTUPAK OBRADE I ODOBRAVANJA ZAHTJEVA</w:t>
      </w:r>
    </w:p>
    <w:p w14:paraId="0F0B1515" w14:textId="77777777" w:rsidR="003E0729" w:rsidRPr="00FE0117" w:rsidRDefault="003E0729" w:rsidP="00FE0117">
      <w:pPr>
        <w:spacing w:after="0"/>
        <w:rPr>
          <w:rFonts w:ascii="Arial" w:hAnsi="Arial" w:cs="Arial"/>
          <w:b/>
          <w:bCs/>
        </w:rPr>
      </w:pPr>
    </w:p>
    <w:p w14:paraId="2C05ECF9" w14:textId="77777777" w:rsidR="003E0729" w:rsidRDefault="00FE0117" w:rsidP="003E0729">
      <w:pPr>
        <w:spacing w:after="0"/>
        <w:jc w:val="center"/>
        <w:rPr>
          <w:rFonts w:ascii="Arial" w:hAnsi="Arial" w:cs="Arial"/>
        </w:rPr>
      </w:pPr>
      <w:r w:rsidRPr="00FE0117">
        <w:rPr>
          <w:rFonts w:ascii="Arial" w:hAnsi="Arial" w:cs="Arial"/>
          <w:b/>
          <w:bCs/>
        </w:rPr>
        <w:t>Članak 9</w:t>
      </w:r>
      <w:r w:rsidR="003E0729">
        <w:rPr>
          <w:rFonts w:ascii="Arial" w:hAnsi="Arial" w:cs="Arial"/>
        </w:rPr>
        <w:t>.</w:t>
      </w:r>
    </w:p>
    <w:p w14:paraId="1213C121" w14:textId="77777777" w:rsidR="00322BDE" w:rsidRDefault="00322BDE" w:rsidP="003E0729">
      <w:pPr>
        <w:spacing w:after="0"/>
        <w:jc w:val="center"/>
        <w:rPr>
          <w:rFonts w:ascii="Arial" w:hAnsi="Arial" w:cs="Arial"/>
        </w:rPr>
      </w:pPr>
    </w:p>
    <w:p w14:paraId="1F5C3193" w14:textId="39785C61" w:rsidR="00FE0117" w:rsidRPr="00A372AC" w:rsidRDefault="00FE0117" w:rsidP="003E0729">
      <w:pPr>
        <w:spacing w:after="0"/>
        <w:jc w:val="both"/>
        <w:rPr>
          <w:rFonts w:ascii="Arial" w:hAnsi="Arial" w:cs="Arial"/>
        </w:rPr>
      </w:pPr>
      <w:r w:rsidRPr="00A372AC">
        <w:rPr>
          <w:rFonts w:ascii="Arial" w:hAnsi="Arial" w:cs="Arial"/>
        </w:rPr>
        <w:t>Zaprimljene zahtjeve razmatra Upravni odjel za društvene djelatnosti Grada Rovinja</w:t>
      </w:r>
      <w:r w:rsidR="003E0729" w:rsidRPr="00A372AC">
        <w:rPr>
          <w:rFonts w:ascii="Arial" w:hAnsi="Arial" w:cs="Arial"/>
        </w:rPr>
        <w:t>-</w:t>
      </w:r>
      <w:r w:rsidRPr="00A372AC">
        <w:rPr>
          <w:rFonts w:ascii="Arial" w:hAnsi="Arial" w:cs="Arial"/>
        </w:rPr>
        <w:t xml:space="preserve"> Rovigno, koji provodi administrativnu obradu i donosi prijedlog o odobrenju ili odbijanju zahtjeva.</w:t>
      </w:r>
    </w:p>
    <w:p w14:paraId="2038B0F2" w14:textId="77777777" w:rsidR="003E0729" w:rsidRPr="003E0729" w:rsidRDefault="003E0729" w:rsidP="003E0729">
      <w:pPr>
        <w:spacing w:after="0"/>
        <w:jc w:val="both"/>
        <w:rPr>
          <w:rFonts w:ascii="Arial" w:hAnsi="Arial" w:cs="Arial"/>
          <w:b/>
          <w:bCs/>
        </w:rPr>
      </w:pPr>
    </w:p>
    <w:p w14:paraId="2EE6A8FF" w14:textId="77777777" w:rsid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Članak 10.</w:t>
      </w:r>
    </w:p>
    <w:p w14:paraId="58CDD551" w14:textId="77777777" w:rsidR="00322BDE" w:rsidRPr="00FE0117" w:rsidRDefault="00322BDE" w:rsidP="00FE0117">
      <w:pPr>
        <w:spacing w:after="0"/>
        <w:jc w:val="center"/>
        <w:rPr>
          <w:rFonts w:ascii="Arial" w:hAnsi="Arial" w:cs="Arial"/>
          <w:b/>
          <w:bCs/>
        </w:rPr>
      </w:pPr>
    </w:p>
    <w:p w14:paraId="06982D36" w14:textId="3065A59E" w:rsidR="00FE0117" w:rsidRPr="00A372AC" w:rsidRDefault="00FE0117" w:rsidP="003E0729">
      <w:pPr>
        <w:spacing w:after="0"/>
        <w:jc w:val="both"/>
        <w:rPr>
          <w:rFonts w:ascii="Arial" w:hAnsi="Arial" w:cs="Arial"/>
        </w:rPr>
      </w:pPr>
      <w:r w:rsidRPr="00A372AC">
        <w:rPr>
          <w:rFonts w:ascii="Arial" w:hAnsi="Arial" w:cs="Arial"/>
        </w:rPr>
        <w:t>Upravni odjel može od podnositelja zahtjeva zatražiti dopunu dokumentacije ili dodatna obrazloženja.</w:t>
      </w:r>
      <w:r w:rsidR="003E0729" w:rsidRPr="00A372AC">
        <w:rPr>
          <w:rFonts w:ascii="Arial" w:hAnsi="Arial" w:cs="Arial"/>
        </w:rPr>
        <w:t xml:space="preserve"> </w:t>
      </w:r>
      <w:r w:rsidRPr="00A372AC">
        <w:rPr>
          <w:rFonts w:ascii="Arial" w:hAnsi="Arial" w:cs="Arial"/>
        </w:rPr>
        <w:t>Ako podnositelj ne dostavi zatraženu nadopunu u roku od 8 dana od dana primitka obavijesti, smatrat će se da je odustao od zahtjeva.</w:t>
      </w:r>
    </w:p>
    <w:p w14:paraId="5D51ED49" w14:textId="77777777" w:rsidR="00614C78" w:rsidRDefault="00614C78" w:rsidP="003E0729">
      <w:pPr>
        <w:spacing w:after="0"/>
        <w:jc w:val="both"/>
        <w:rPr>
          <w:rFonts w:ascii="Arial" w:hAnsi="Arial" w:cs="Arial"/>
        </w:rPr>
      </w:pPr>
    </w:p>
    <w:p w14:paraId="10600294" w14:textId="77777777" w:rsidR="00614C78" w:rsidRPr="00FE0117" w:rsidRDefault="00614C78" w:rsidP="00FE0117">
      <w:pPr>
        <w:spacing w:after="0"/>
        <w:rPr>
          <w:rFonts w:ascii="Arial" w:hAnsi="Arial" w:cs="Arial"/>
        </w:rPr>
      </w:pPr>
    </w:p>
    <w:p w14:paraId="170B249F" w14:textId="77777777" w:rsidR="00FE0117" w:rsidRDefault="00FE0117" w:rsidP="00FE0117">
      <w:pPr>
        <w:spacing w:after="0"/>
        <w:rPr>
          <w:rFonts w:ascii="Arial" w:hAnsi="Arial" w:cs="Arial"/>
          <w:b/>
          <w:bCs/>
        </w:rPr>
      </w:pPr>
      <w:r w:rsidRPr="00DA5E37">
        <w:rPr>
          <w:rFonts w:ascii="Arial" w:hAnsi="Arial" w:cs="Arial"/>
          <w:b/>
          <w:bCs/>
        </w:rPr>
        <w:t>VI. ZAHTJEV ZA POVRAT SREDSTAVA ULOŽENIH U OBRAZOVANJE</w:t>
      </w:r>
    </w:p>
    <w:p w14:paraId="06724B74" w14:textId="77777777" w:rsidR="003E0729" w:rsidRPr="00FE0117" w:rsidRDefault="003E0729" w:rsidP="00FE0117">
      <w:pPr>
        <w:spacing w:after="0"/>
        <w:rPr>
          <w:rFonts w:ascii="Arial" w:hAnsi="Arial" w:cs="Arial"/>
          <w:b/>
          <w:bCs/>
        </w:rPr>
      </w:pPr>
    </w:p>
    <w:p w14:paraId="21889D7D" w14:textId="77777777" w:rsid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Članak 11.</w:t>
      </w:r>
    </w:p>
    <w:p w14:paraId="481C9442" w14:textId="77777777" w:rsidR="00322BDE" w:rsidRPr="00FE0117" w:rsidRDefault="00322BDE" w:rsidP="00FE0117">
      <w:pPr>
        <w:spacing w:after="0"/>
        <w:jc w:val="center"/>
        <w:rPr>
          <w:rFonts w:ascii="Arial" w:hAnsi="Arial" w:cs="Arial"/>
          <w:b/>
          <w:bCs/>
        </w:rPr>
      </w:pPr>
    </w:p>
    <w:p w14:paraId="110E80F5" w14:textId="77777777" w:rsidR="00FE0117" w:rsidRDefault="00FE0117" w:rsidP="00FE0117">
      <w:pPr>
        <w:spacing w:after="0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Podnositelj zahtjeva ostvaruje pravo na subvenciju temeljem računa i dokaza o podmirenju troškova obrazovanja.</w:t>
      </w:r>
    </w:p>
    <w:p w14:paraId="4FED7E5B" w14:textId="77777777" w:rsidR="003E0729" w:rsidRPr="00FE0117" w:rsidRDefault="003E0729" w:rsidP="00FE0117">
      <w:pPr>
        <w:spacing w:after="0"/>
        <w:jc w:val="both"/>
        <w:rPr>
          <w:rFonts w:ascii="Arial" w:hAnsi="Arial" w:cs="Arial"/>
        </w:rPr>
      </w:pPr>
    </w:p>
    <w:p w14:paraId="7475E17C" w14:textId="77777777" w:rsid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Članak 12.</w:t>
      </w:r>
    </w:p>
    <w:p w14:paraId="74765483" w14:textId="77777777" w:rsidR="00322BDE" w:rsidRPr="00FE0117" w:rsidRDefault="00322BDE" w:rsidP="00FE0117">
      <w:pPr>
        <w:spacing w:after="0"/>
        <w:jc w:val="center"/>
        <w:rPr>
          <w:rFonts w:ascii="Arial" w:hAnsi="Arial" w:cs="Arial"/>
          <w:b/>
          <w:bCs/>
        </w:rPr>
      </w:pPr>
    </w:p>
    <w:p w14:paraId="695851DF" w14:textId="65155BFF" w:rsidR="00FE0117" w:rsidRDefault="00FE0117" w:rsidP="00FE0117">
      <w:pPr>
        <w:spacing w:after="0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Subvencija se ne može ostvariti ukoliko podnositelj:</w:t>
      </w:r>
    </w:p>
    <w:p w14:paraId="05B2A3F4" w14:textId="77777777" w:rsidR="00322BDE" w:rsidRPr="00FE0117" w:rsidRDefault="00322BDE" w:rsidP="00FE0117">
      <w:pPr>
        <w:spacing w:after="0"/>
        <w:jc w:val="both"/>
        <w:rPr>
          <w:rFonts w:ascii="Arial" w:hAnsi="Arial" w:cs="Arial"/>
        </w:rPr>
      </w:pPr>
    </w:p>
    <w:p w14:paraId="7C49D3B7" w14:textId="77777777" w:rsidR="00FE0117" w:rsidRPr="00FE0117" w:rsidRDefault="00FE0117" w:rsidP="00322BDE">
      <w:pPr>
        <w:numPr>
          <w:ilvl w:val="0"/>
          <w:numId w:val="8"/>
        </w:numPr>
        <w:spacing w:after="0" w:line="259" w:lineRule="auto"/>
        <w:ind w:left="142" w:firstLine="142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nije u cijelosti podmirio troškove obrazovanja,</w:t>
      </w:r>
    </w:p>
    <w:p w14:paraId="374C0F6A" w14:textId="77777777" w:rsidR="00FE0117" w:rsidRPr="00FE0117" w:rsidRDefault="00FE0117" w:rsidP="00322BDE">
      <w:pPr>
        <w:numPr>
          <w:ilvl w:val="0"/>
          <w:numId w:val="8"/>
        </w:numPr>
        <w:spacing w:after="0" w:line="259" w:lineRule="auto"/>
        <w:ind w:left="142" w:firstLine="142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nije završio program obrazovanja,</w:t>
      </w:r>
    </w:p>
    <w:p w14:paraId="7801603F" w14:textId="450937B4" w:rsidR="00FE0117" w:rsidRPr="00A372AC" w:rsidRDefault="00FE0117" w:rsidP="00322BDE">
      <w:pPr>
        <w:numPr>
          <w:ilvl w:val="0"/>
          <w:numId w:val="8"/>
        </w:numPr>
        <w:spacing w:after="0" w:line="259" w:lineRule="auto"/>
        <w:ind w:left="142" w:firstLine="142"/>
        <w:jc w:val="both"/>
        <w:rPr>
          <w:rFonts w:ascii="Arial" w:hAnsi="Arial" w:cs="Arial"/>
        </w:rPr>
      </w:pPr>
      <w:r w:rsidRPr="00A372AC">
        <w:rPr>
          <w:rFonts w:ascii="Arial" w:hAnsi="Arial" w:cs="Arial"/>
        </w:rPr>
        <w:t>ili ako je troškove obrazovanja za njega podmiri</w:t>
      </w:r>
      <w:r w:rsidR="00A372AC" w:rsidRPr="00A372AC">
        <w:rPr>
          <w:rFonts w:ascii="Arial" w:hAnsi="Arial" w:cs="Arial"/>
        </w:rPr>
        <w:t xml:space="preserve">o poslodavac ili </w:t>
      </w:r>
      <w:r w:rsidRPr="00A372AC">
        <w:rPr>
          <w:rFonts w:ascii="Arial" w:hAnsi="Arial" w:cs="Arial"/>
        </w:rPr>
        <w:t>druga pravna osoba.</w:t>
      </w:r>
    </w:p>
    <w:p w14:paraId="42C013D8" w14:textId="77777777" w:rsidR="00614C78" w:rsidRDefault="00614C78" w:rsidP="00614C78">
      <w:pPr>
        <w:spacing w:after="0" w:line="259" w:lineRule="auto"/>
        <w:jc w:val="both"/>
        <w:rPr>
          <w:rFonts w:ascii="Arial" w:hAnsi="Arial" w:cs="Arial"/>
        </w:rPr>
      </w:pPr>
    </w:p>
    <w:p w14:paraId="1497CC48" w14:textId="77777777" w:rsidR="00614C78" w:rsidRDefault="00614C78" w:rsidP="00614C78">
      <w:pPr>
        <w:spacing w:after="0" w:line="259" w:lineRule="auto"/>
        <w:jc w:val="both"/>
        <w:rPr>
          <w:rFonts w:ascii="Arial" w:hAnsi="Arial" w:cs="Arial"/>
        </w:rPr>
      </w:pPr>
    </w:p>
    <w:p w14:paraId="43C7C9A8" w14:textId="77777777" w:rsidR="00322BDE" w:rsidRPr="00614C78" w:rsidRDefault="00322BDE" w:rsidP="00614C78">
      <w:pPr>
        <w:spacing w:after="0" w:line="259" w:lineRule="auto"/>
        <w:jc w:val="both"/>
        <w:rPr>
          <w:rFonts w:ascii="Arial" w:hAnsi="Arial" w:cs="Arial"/>
        </w:rPr>
      </w:pPr>
    </w:p>
    <w:p w14:paraId="67D64E64" w14:textId="77777777" w:rsidR="00FE0117" w:rsidRDefault="00FE0117" w:rsidP="00FE0117">
      <w:pPr>
        <w:spacing w:after="0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VII. NADZOR I ZAVRŠNE ODREDBE</w:t>
      </w:r>
    </w:p>
    <w:p w14:paraId="4260894F" w14:textId="77777777" w:rsidR="00322BDE" w:rsidRPr="00FE0117" w:rsidRDefault="00322BDE" w:rsidP="00FE0117">
      <w:pPr>
        <w:spacing w:after="0"/>
        <w:rPr>
          <w:rFonts w:ascii="Arial" w:hAnsi="Arial" w:cs="Arial"/>
          <w:b/>
          <w:bCs/>
        </w:rPr>
      </w:pPr>
    </w:p>
    <w:p w14:paraId="238A35C3" w14:textId="77777777" w:rsidR="00FE0117" w:rsidRP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Članak 13.</w:t>
      </w:r>
    </w:p>
    <w:p w14:paraId="0CBAAEEB" w14:textId="77777777" w:rsidR="00322BDE" w:rsidRDefault="00322BDE" w:rsidP="00FE0117">
      <w:pPr>
        <w:spacing w:after="0"/>
        <w:rPr>
          <w:rFonts w:ascii="Arial" w:hAnsi="Arial" w:cs="Arial"/>
        </w:rPr>
      </w:pPr>
    </w:p>
    <w:p w14:paraId="083D2EBE" w14:textId="118C8473" w:rsidR="00FE0117" w:rsidRDefault="00FE0117" w:rsidP="00FE0117">
      <w:pPr>
        <w:spacing w:after="0"/>
        <w:rPr>
          <w:rFonts w:ascii="Arial" w:hAnsi="Arial" w:cs="Arial"/>
        </w:rPr>
      </w:pPr>
      <w:r w:rsidRPr="00A372AC">
        <w:rPr>
          <w:rFonts w:ascii="Arial" w:hAnsi="Arial" w:cs="Arial"/>
        </w:rPr>
        <w:t>Nadzor nad provedbom ove Odluke provodi Upravni odjel za društvene djelatnosti Grada Rovinja</w:t>
      </w:r>
      <w:r w:rsidR="00322BDE" w:rsidRPr="00A372AC">
        <w:rPr>
          <w:rFonts w:ascii="Arial" w:hAnsi="Arial" w:cs="Arial"/>
        </w:rPr>
        <w:t>-</w:t>
      </w:r>
      <w:r w:rsidRPr="00A372AC">
        <w:rPr>
          <w:rFonts w:ascii="Arial" w:hAnsi="Arial" w:cs="Arial"/>
        </w:rPr>
        <w:t>Rovigno</w:t>
      </w:r>
      <w:r w:rsidRPr="00FE0117">
        <w:rPr>
          <w:rFonts w:ascii="Arial" w:hAnsi="Arial" w:cs="Arial"/>
        </w:rPr>
        <w:t>.</w:t>
      </w:r>
    </w:p>
    <w:p w14:paraId="68A235FD" w14:textId="77777777" w:rsidR="00322BDE" w:rsidRPr="00FE0117" w:rsidRDefault="00322BDE" w:rsidP="00FE0117">
      <w:pPr>
        <w:spacing w:after="0"/>
        <w:rPr>
          <w:rFonts w:ascii="Arial" w:hAnsi="Arial" w:cs="Arial"/>
        </w:rPr>
      </w:pPr>
    </w:p>
    <w:p w14:paraId="2E36EBA4" w14:textId="77777777" w:rsidR="00FE0117" w:rsidRPr="00FE0117" w:rsidRDefault="00FE0117" w:rsidP="00FE0117">
      <w:pPr>
        <w:spacing w:after="0"/>
        <w:jc w:val="center"/>
        <w:rPr>
          <w:rFonts w:ascii="Arial" w:hAnsi="Arial" w:cs="Arial"/>
          <w:b/>
          <w:bCs/>
        </w:rPr>
      </w:pPr>
      <w:r w:rsidRPr="00FE0117">
        <w:rPr>
          <w:rFonts w:ascii="Arial" w:hAnsi="Arial" w:cs="Arial"/>
          <w:b/>
          <w:bCs/>
        </w:rPr>
        <w:t>Članak 14.</w:t>
      </w:r>
    </w:p>
    <w:p w14:paraId="5AD7FE42" w14:textId="77777777" w:rsidR="00322BDE" w:rsidRDefault="00322BDE" w:rsidP="00FE0117">
      <w:pPr>
        <w:spacing w:after="0"/>
        <w:rPr>
          <w:rFonts w:ascii="Arial" w:hAnsi="Arial" w:cs="Arial"/>
        </w:rPr>
      </w:pPr>
    </w:p>
    <w:p w14:paraId="0BFACA66" w14:textId="7757F308" w:rsidR="00FE0117" w:rsidRDefault="00FE0117" w:rsidP="00322BDE">
      <w:pPr>
        <w:spacing w:after="0"/>
        <w:jc w:val="both"/>
        <w:rPr>
          <w:rFonts w:ascii="Arial" w:hAnsi="Arial" w:cs="Arial"/>
        </w:rPr>
      </w:pPr>
      <w:r w:rsidRPr="00FE0117">
        <w:rPr>
          <w:rFonts w:ascii="Arial" w:hAnsi="Arial" w:cs="Arial"/>
        </w:rPr>
        <w:t>Ova Odluka stupa na snagu danom donošenja, a objavit će se na mrežnim stranicama Grada Rovinja</w:t>
      </w:r>
      <w:r w:rsidR="00322BDE">
        <w:rPr>
          <w:rFonts w:ascii="Arial" w:hAnsi="Arial" w:cs="Arial"/>
        </w:rPr>
        <w:t>-</w:t>
      </w:r>
      <w:r w:rsidRPr="00FE0117">
        <w:rPr>
          <w:rFonts w:ascii="Arial" w:hAnsi="Arial" w:cs="Arial"/>
        </w:rPr>
        <w:t>Rovigno.</w:t>
      </w:r>
    </w:p>
    <w:p w14:paraId="4D40A35F" w14:textId="77777777" w:rsidR="00322BDE" w:rsidRPr="00322BDE" w:rsidRDefault="00322BDE" w:rsidP="00FE0117">
      <w:pPr>
        <w:spacing w:after="0"/>
        <w:rPr>
          <w:rFonts w:ascii="Arial" w:hAnsi="Arial" w:cs="Arial"/>
        </w:rPr>
      </w:pPr>
    </w:p>
    <w:p w14:paraId="751B9513" w14:textId="77777777" w:rsidR="00322BDE" w:rsidRPr="00322BDE" w:rsidRDefault="00322BDE" w:rsidP="00FE0117">
      <w:pPr>
        <w:spacing w:after="0"/>
        <w:rPr>
          <w:rFonts w:ascii="Arial" w:hAnsi="Arial" w:cs="Arial"/>
        </w:rPr>
      </w:pPr>
    </w:p>
    <w:p w14:paraId="4E343DD3" w14:textId="77777777" w:rsidR="00322BDE" w:rsidRPr="003E0729" w:rsidRDefault="00322BDE" w:rsidP="00322BDE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  <w:lang w:val="it-IT"/>
        </w:rPr>
      </w:pPr>
      <w:proofErr w:type="spellStart"/>
      <w:r w:rsidRPr="003E0729">
        <w:rPr>
          <w:rFonts w:ascii="Arial" w:eastAsia="Times New Roman" w:hAnsi="Arial" w:cs="Arial"/>
          <w:szCs w:val="24"/>
          <w:lang w:val="it-IT"/>
        </w:rPr>
        <w:t>Klasa</w:t>
      </w:r>
      <w:proofErr w:type="spellEnd"/>
      <w:r w:rsidRPr="003E0729">
        <w:rPr>
          <w:rFonts w:ascii="Arial" w:eastAsia="Times New Roman" w:hAnsi="Arial" w:cs="Arial"/>
          <w:szCs w:val="24"/>
          <w:lang w:val="it-IT"/>
        </w:rPr>
        <w:t>/Classe: 602-02/25-01/16</w:t>
      </w:r>
    </w:p>
    <w:p w14:paraId="4534AAB5" w14:textId="66E35C00" w:rsidR="00322BDE" w:rsidRPr="003E0729" w:rsidRDefault="00322BDE" w:rsidP="00322BDE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proofErr w:type="spellStart"/>
      <w:r w:rsidRPr="003E0729">
        <w:rPr>
          <w:rFonts w:ascii="Arial" w:eastAsia="Times New Roman" w:hAnsi="Arial" w:cs="Arial"/>
          <w:szCs w:val="24"/>
        </w:rPr>
        <w:t>Urbroj</w:t>
      </w:r>
      <w:proofErr w:type="spellEnd"/>
      <w:r w:rsidRPr="003E0729">
        <w:rPr>
          <w:rFonts w:ascii="Arial" w:eastAsia="Times New Roman" w:hAnsi="Arial" w:cs="Arial"/>
          <w:szCs w:val="24"/>
        </w:rPr>
        <w:t>/</w:t>
      </w:r>
      <w:proofErr w:type="spellStart"/>
      <w:r w:rsidRPr="003E0729">
        <w:rPr>
          <w:rFonts w:ascii="Arial" w:eastAsia="Times New Roman" w:hAnsi="Arial" w:cs="Arial"/>
          <w:szCs w:val="24"/>
        </w:rPr>
        <w:t>Numprot</w:t>
      </w:r>
      <w:proofErr w:type="spellEnd"/>
      <w:r w:rsidRPr="003E0729">
        <w:rPr>
          <w:rFonts w:ascii="Arial" w:eastAsia="Times New Roman" w:hAnsi="Arial" w:cs="Arial"/>
          <w:szCs w:val="24"/>
        </w:rPr>
        <w:t>: 2163-8-09/2-25-</w:t>
      </w:r>
      <w:r>
        <w:rPr>
          <w:rFonts w:ascii="Arial" w:eastAsia="Times New Roman" w:hAnsi="Arial" w:cs="Arial"/>
          <w:szCs w:val="24"/>
        </w:rPr>
        <w:t>2</w:t>
      </w:r>
    </w:p>
    <w:p w14:paraId="1085C08B" w14:textId="77777777" w:rsidR="00322BDE" w:rsidRDefault="00322BDE" w:rsidP="00322BDE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3E0729">
        <w:rPr>
          <w:rFonts w:ascii="Arial" w:eastAsia="Times New Roman" w:hAnsi="Arial" w:cs="Arial"/>
          <w:szCs w:val="24"/>
        </w:rPr>
        <w:t>Rovinj-Rovigno, 12. studenoga 2025.</w:t>
      </w:r>
      <w:r>
        <w:rPr>
          <w:rFonts w:ascii="Arial" w:eastAsia="Times New Roman" w:hAnsi="Arial" w:cs="Arial"/>
          <w:szCs w:val="24"/>
        </w:rPr>
        <w:t xml:space="preserve"> </w:t>
      </w:r>
    </w:p>
    <w:p w14:paraId="4119D8F1" w14:textId="77777777" w:rsidR="00322BDE" w:rsidRPr="00322BDE" w:rsidRDefault="00322BDE" w:rsidP="00FE0117">
      <w:pPr>
        <w:spacing w:after="0"/>
        <w:rPr>
          <w:rFonts w:ascii="Arial" w:hAnsi="Arial" w:cs="Arial"/>
        </w:rPr>
      </w:pPr>
    </w:p>
    <w:p w14:paraId="17B45F23" w14:textId="77777777" w:rsidR="00322BDE" w:rsidRPr="00322BDE" w:rsidRDefault="00322BDE" w:rsidP="00FE0117">
      <w:pPr>
        <w:spacing w:after="0"/>
        <w:rPr>
          <w:rFonts w:ascii="Arial" w:hAnsi="Arial" w:cs="Arial"/>
        </w:rPr>
      </w:pPr>
    </w:p>
    <w:p w14:paraId="7BDEB48B" w14:textId="77777777" w:rsidR="00130520" w:rsidRDefault="00130520" w:rsidP="00130520">
      <w:pPr>
        <w:spacing w:after="0" w:line="240" w:lineRule="auto"/>
        <w:ind w:left="6379"/>
        <w:jc w:val="center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Gradonačelnik</w:t>
      </w:r>
    </w:p>
    <w:p w14:paraId="29C142BE" w14:textId="77777777" w:rsidR="00130520" w:rsidRDefault="00130520" w:rsidP="00130520">
      <w:pPr>
        <w:spacing w:after="0" w:line="240" w:lineRule="auto"/>
        <w:ind w:left="6379"/>
        <w:jc w:val="center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Emil </w:t>
      </w:r>
      <w:proofErr w:type="spellStart"/>
      <w:r>
        <w:rPr>
          <w:rFonts w:ascii="Arial" w:eastAsia="Times New Roman" w:hAnsi="Arial" w:cs="Arial"/>
        </w:rPr>
        <w:t>Nimčević</w:t>
      </w:r>
      <w:proofErr w:type="spellEnd"/>
      <w:r>
        <w:rPr>
          <w:rFonts w:ascii="Arial" w:eastAsia="Times New Roman" w:hAnsi="Arial" w:cs="Arial"/>
        </w:rPr>
        <w:t>, prof.</w:t>
      </w:r>
    </w:p>
    <w:p w14:paraId="683D8817" w14:textId="77777777" w:rsidR="00FE0117" w:rsidRPr="00322BDE" w:rsidRDefault="00FE0117" w:rsidP="00130520">
      <w:pPr>
        <w:spacing w:after="0"/>
        <w:jc w:val="right"/>
        <w:rPr>
          <w:rFonts w:ascii="Arial" w:hAnsi="Arial" w:cs="Arial"/>
        </w:rPr>
      </w:pPr>
    </w:p>
    <w:p w14:paraId="1B9AB998" w14:textId="77777777" w:rsidR="00FE0117" w:rsidRPr="00322BDE" w:rsidRDefault="00FE0117" w:rsidP="00FE0117">
      <w:pPr>
        <w:spacing w:after="0"/>
        <w:rPr>
          <w:rFonts w:ascii="Arial" w:hAnsi="Arial" w:cs="Arial"/>
        </w:rPr>
      </w:pPr>
    </w:p>
    <w:p w14:paraId="5AFE1937" w14:textId="77777777" w:rsidR="007B1EF1" w:rsidRPr="00322BDE" w:rsidRDefault="007B1EF1" w:rsidP="00FE0117">
      <w:pPr>
        <w:spacing w:after="0" w:line="240" w:lineRule="auto"/>
        <w:jc w:val="center"/>
        <w:outlineLvl w:val="0"/>
        <w:rPr>
          <w:rFonts w:ascii="Arial" w:eastAsia="Times New Roman" w:hAnsi="Arial" w:cs="Arial"/>
        </w:rPr>
      </w:pPr>
    </w:p>
    <w:p w14:paraId="611A4984" w14:textId="77777777" w:rsidR="007B1EF1" w:rsidRPr="00322BDE" w:rsidRDefault="007B1EF1" w:rsidP="00FE011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83346E" w14:textId="77777777" w:rsidR="007B1EF1" w:rsidRPr="00322BDE" w:rsidRDefault="007B1EF1" w:rsidP="00FE0117">
      <w:pPr>
        <w:spacing w:after="0"/>
        <w:ind w:firstLine="720"/>
        <w:rPr>
          <w:rFonts w:ascii="Arial" w:eastAsia="Times New Roman" w:hAnsi="Arial" w:cs="Arial"/>
        </w:rPr>
      </w:pPr>
    </w:p>
    <w:p w14:paraId="6C7F33E1" w14:textId="77777777" w:rsidR="007B1EF1" w:rsidRPr="00322BDE" w:rsidRDefault="007B1EF1" w:rsidP="007B1EF1">
      <w:pPr>
        <w:spacing w:after="0"/>
        <w:ind w:firstLine="720"/>
        <w:rPr>
          <w:rFonts w:ascii="Arial" w:eastAsia="Times New Roman" w:hAnsi="Arial" w:cs="Arial"/>
        </w:rPr>
      </w:pPr>
    </w:p>
    <w:p w14:paraId="66F6295C" w14:textId="77777777" w:rsidR="007B1EF1" w:rsidRPr="00322BDE" w:rsidRDefault="007B1EF1" w:rsidP="007B1EF1">
      <w:pPr>
        <w:spacing w:after="0"/>
        <w:ind w:firstLine="720"/>
        <w:rPr>
          <w:rFonts w:ascii="Arial" w:eastAsia="Times New Roman" w:hAnsi="Arial" w:cs="Arial"/>
        </w:rPr>
      </w:pPr>
    </w:p>
    <w:p w14:paraId="0C9D9A8C" w14:textId="77777777" w:rsidR="007B1EF1" w:rsidRPr="00322BDE" w:rsidRDefault="007B1EF1" w:rsidP="007B1EF1">
      <w:pPr>
        <w:spacing w:after="0"/>
        <w:ind w:firstLine="720"/>
        <w:rPr>
          <w:rFonts w:ascii="Arial" w:eastAsia="Times New Roman" w:hAnsi="Arial" w:cs="Arial"/>
        </w:rPr>
      </w:pPr>
    </w:p>
    <w:p w14:paraId="153EA476" w14:textId="77777777" w:rsidR="007B1EF1" w:rsidRPr="00322BDE" w:rsidRDefault="007B1EF1" w:rsidP="007B1EF1">
      <w:pPr>
        <w:spacing w:after="0"/>
        <w:ind w:firstLine="720"/>
        <w:rPr>
          <w:rFonts w:ascii="Arial" w:eastAsia="Times New Roman" w:hAnsi="Arial" w:cs="Arial"/>
        </w:rPr>
      </w:pPr>
    </w:p>
    <w:p w14:paraId="1F37EDCE" w14:textId="77777777" w:rsidR="007B1EF1" w:rsidRPr="00322BDE" w:rsidRDefault="007B1EF1" w:rsidP="007B1EF1">
      <w:pPr>
        <w:spacing w:after="0"/>
        <w:ind w:firstLine="720"/>
        <w:rPr>
          <w:rFonts w:ascii="Arial" w:eastAsia="Times New Roman" w:hAnsi="Arial" w:cs="Arial"/>
        </w:rPr>
      </w:pPr>
    </w:p>
    <w:p w14:paraId="3FAAAE62" w14:textId="77777777" w:rsidR="007B1EF1" w:rsidRPr="00322BDE" w:rsidRDefault="007B1EF1" w:rsidP="007B1EF1">
      <w:pPr>
        <w:spacing w:after="0"/>
        <w:ind w:firstLine="720"/>
        <w:rPr>
          <w:rFonts w:ascii="Arial" w:eastAsia="Times New Roman" w:hAnsi="Arial" w:cs="Arial"/>
        </w:rPr>
      </w:pPr>
    </w:p>
    <w:p w14:paraId="11F0C86F" w14:textId="77777777" w:rsidR="007B1EF1" w:rsidRPr="00322BDE" w:rsidRDefault="007B1EF1" w:rsidP="007B1EF1">
      <w:pPr>
        <w:spacing w:after="0"/>
        <w:ind w:firstLine="720"/>
        <w:rPr>
          <w:rFonts w:ascii="Arial" w:eastAsia="Times New Roman" w:hAnsi="Arial" w:cs="Arial"/>
        </w:rPr>
      </w:pPr>
    </w:p>
    <w:p w14:paraId="5D461434" w14:textId="77777777" w:rsidR="007B1EF1" w:rsidRPr="00322BDE" w:rsidRDefault="007B1EF1" w:rsidP="007B1EF1">
      <w:pPr>
        <w:spacing w:after="0"/>
        <w:rPr>
          <w:rFonts w:ascii="Arial" w:eastAsia="Times New Roman" w:hAnsi="Arial" w:cs="Arial"/>
        </w:rPr>
      </w:pPr>
    </w:p>
    <w:bookmarkEnd w:id="0"/>
    <w:p w14:paraId="68E08A00" w14:textId="77777777" w:rsidR="007B1EF1" w:rsidRPr="00322BDE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 w:val="24"/>
          <w:szCs w:val="24"/>
        </w:rPr>
      </w:pPr>
    </w:p>
    <w:p w14:paraId="091B0D4D" w14:textId="77777777" w:rsidR="007B1EF1" w:rsidRPr="00322BDE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 w:val="24"/>
          <w:szCs w:val="24"/>
        </w:rPr>
      </w:pPr>
    </w:p>
    <w:p w14:paraId="6DD9FAA4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 w:val="24"/>
          <w:szCs w:val="24"/>
        </w:rPr>
      </w:pPr>
    </w:p>
    <w:p w14:paraId="5E716435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3F1E1E32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01792EF2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210AB808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3342D4A3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25E44C5E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4252777F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70BF0DF3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6C871E75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16A86006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547880D9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2DF3E74A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00FCCF4A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7DA8EF58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Cs w:val="24"/>
        </w:rPr>
      </w:pPr>
    </w:p>
    <w:p w14:paraId="193F0113" w14:textId="77777777" w:rsidR="007B1EF1" w:rsidRDefault="007B1EF1" w:rsidP="007B1EF1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1E824447" w14:textId="77777777" w:rsidR="007B1EF1" w:rsidRDefault="007B1EF1" w:rsidP="007B1EF1">
      <w:pPr>
        <w:spacing w:after="0" w:line="240" w:lineRule="auto"/>
        <w:ind w:right="252"/>
        <w:rPr>
          <w:rFonts w:ascii="Arial" w:eastAsia="Times New Roman" w:hAnsi="Arial" w:cs="Arial"/>
          <w:sz w:val="24"/>
          <w:szCs w:val="24"/>
        </w:rPr>
      </w:pPr>
    </w:p>
    <w:sectPr w:rsidR="007B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E82"/>
    <w:multiLevelType w:val="hybridMultilevel"/>
    <w:tmpl w:val="59708A3E"/>
    <w:lvl w:ilvl="0" w:tplc="E20CA5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7844"/>
    <w:multiLevelType w:val="hybridMultilevel"/>
    <w:tmpl w:val="58923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06FF"/>
    <w:multiLevelType w:val="hybridMultilevel"/>
    <w:tmpl w:val="223227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64DB"/>
    <w:multiLevelType w:val="hybridMultilevel"/>
    <w:tmpl w:val="09E851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F0AF1"/>
    <w:multiLevelType w:val="multilevel"/>
    <w:tmpl w:val="D93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6690B"/>
    <w:multiLevelType w:val="multilevel"/>
    <w:tmpl w:val="2CC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136CE"/>
    <w:multiLevelType w:val="hybridMultilevel"/>
    <w:tmpl w:val="6FBAAD8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08377">
    <w:abstractNumId w:val="7"/>
  </w:num>
  <w:num w:numId="2" w16cid:durableId="937257721">
    <w:abstractNumId w:val="6"/>
  </w:num>
  <w:num w:numId="3" w16cid:durableId="2033872002">
    <w:abstractNumId w:val="2"/>
  </w:num>
  <w:num w:numId="4" w16cid:durableId="421413672">
    <w:abstractNumId w:val="1"/>
  </w:num>
  <w:num w:numId="5" w16cid:durableId="164445539">
    <w:abstractNumId w:val="0"/>
  </w:num>
  <w:num w:numId="6" w16cid:durableId="546454548">
    <w:abstractNumId w:val="3"/>
  </w:num>
  <w:num w:numId="7" w16cid:durableId="1588267113">
    <w:abstractNumId w:val="4"/>
  </w:num>
  <w:num w:numId="8" w16cid:durableId="1725327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C6"/>
    <w:rsid w:val="000C643B"/>
    <w:rsid w:val="00130520"/>
    <w:rsid w:val="00194167"/>
    <w:rsid w:val="002433A9"/>
    <w:rsid w:val="00284C52"/>
    <w:rsid w:val="002E585C"/>
    <w:rsid w:val="00322BDE"/>
    <w:rsid w:val="00390137"/>
    <w:rsid w:val="003A58C6"/>
    <w:rsid w:val="003C41C7"/>
    <w:rsid w:val="003E0729"/>
    <w:rsid w:val="00440D61"/>
    <w:rsid w:val="00465319"/>
    <w:rsid w:val="00614C78"/>
    <w:rsid w:val="006358E3"/>
    <w:rsid w:val="006A3A4D"/>
    <w:rsid w:val="007B1EF1"/>
    <w:rsid w:val="007F01FE"/>
    <w:rsid w:val="00A372AC"/>
    <w:rsid w:val="00A52F57"/>
    <w:rsid w:val="00B23975"/>
    <w:rsid w:val="00B447F7"/>
    <w:rsid w:val="00BC3822"/>
    <w:rsid w:val="00D96A3E"/>
    <w:rsid w:val="00DA5E37"/>
    <w:rsid w:val="00EF20AE"/>
    <w:rsid w:val="00F30DAC"/>
    <w:rsid w:val="00F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0836"/>
  <w15:chartTrackingRefBased/>
  <w15:docId w15:val="{51E1061E-E6D6-4D65-8381-A2D37FC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F1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A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58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58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58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5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58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58C6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58C6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58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58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58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58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58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58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58C6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58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58C6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58C6"/>
    <w:rPr>
      <w:b/>
      <w:bCs/>
      <w:smallCaps/>
      <w:color w:val="2E74B5" w:themeColor="accent1" w:themeShade="BF"/>
      <w:spacing w:val="5"/>
    </w:rPr>
  </w:style>
  <w:style w:type="paragraph" w:customStyle="1" w:styleId="box462117">
    <w:name w:val="box_462117"/>
    <w:basedOn w:val="Normal"/>
    <w:rsid w:val="007B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52F5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2F5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2F57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2F5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2F5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Dean</cp:lastModifiedBy>
  <cp:revision>4</cp:revision>
  <cp:lastPrinted>2025-11-12T10:06:00Z</cp:lastPrinted>
  <dcterms:created xsi:type="dcterms:W3CDTF">2025-11-13T14:59:00Z</dcterms:created>
  <dcterms:modified xsi:type="dcterms:W3CDTF">2025-11-24T08:02:00Z</dcterms:modified>
</cp:coreProperties>
</file>