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2b445a7cb7947e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34442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ROVINJ - ROVIGNO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10.844.176,42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11.620.762,09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8.150.901,60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10.648.657,16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2.693.274,82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972.104,93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434.862,05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1.273.557,28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2.739.679,39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5.466.918,07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2.304.817,34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4.193.360,79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19.912,24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19.912,24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19.912,24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19.912,24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3.241.168,10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Povećanje ostvarenja ukupnih prihoda poslovanja (+776.585,67) posljedica je najvećim dijelom povećanja ostvarenja prihoda od poreza, konkretno poreza na dohodak (+1.040.002,98), dok je, s druge strane, značajnje umanjenje ostvarenja pomoći od međunarodnih organizacija te institucija i tijela EU (-323.578,56). Tijekom promatranog razdoblja protekle godine zabilježeno je ostvarenje kapitalne pomoći iz državnog proračuna te kapitalne pomoći temeljem prijenosa Eu sredstava dok ove godine tu još uvijek nema ostvarenja. Na povećanje ostvarenja prihoda od imovine utjecalo je povećanje ostvarenja prihoda od nefinancijske imovine:  zakupa i iznajmljivanja imovine od čega izdvajamo značajno povećanje prihoda od zakupa turističkog zemljišta (hotela i turističkih naselja te kampova).
Povećanje izvršenja rashoda poslovanja u ukupnom iznosu od 2.497.755,56 prouzrokovano je povećanjem rashoda za zaposlene u gradskoj upravi i ustanovama kojih je Grad osnivač.
Povećanje ostvarenja prihoda od prodaje nefinancijske imovine posljedica je isključivo povećanja prihoda od prodaje građevinskog zemljišta. Na smanjenje ostvarenja prihoda od prodaje proizvedene dugotrajne imovine utjecalo je smanjenje ostvarenja prihoda od prodaje stambenih objekata u vlasništvu Grada. 
Povećanje izvršenja rashoda za nabavu nefinancijske imovine posljedica je povećanja dodatnih ulaganja na građevinskim objektima (+2.899.240,76) uslijed značajnih ulaganja na većem broju objekata u ovoj godini (Dječji vrtić Mondelaco, energetska obnova Dječjeg vrtića Neven, rekonstrukcija ulice Carducci, rekonstrukcija Centra za mlade, Spomenik hrvatskim braniteljima na Trgu na lokvi.,..). 
Upravo je uvećani obim investicija, kako brojčano, tako i financijski, u odnosu na pripadajuće razdoblje 2024. godine uzrokom tako značajnog manjka prihoda u prvom polugodištu ove godine.</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7.052.732,11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7.800.597,76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bl>
    <w:p>
      <w:pPr>
        <w:spacing w:before="0" w:after="0"/>
      </w:pPr>
    </w:p>
    <w:p>
      <w:pPr>
        <w:jc w:val="both"/>
        <w:pStyle w:val="Normal"/>
        <w:spacing w:line="240" w:lineRule="auto"/>
      </w:pPr>
      <w:r>
        <w:rPr>
          <w:sz w:val="24"/>
          <w:rFonts w:ascii="Times New Roman" w:hAnsi="Times New Roman"/>
        </w:rPr>
        <w:t>Ostvarenje prihoda od poreza posljedica je povećanog ostvarenja poreza na dohodak (+1.040.002,98). S druge strane porezi na imovinu bilježe pad ostvarenja od 279.118,07 i to najvećim dijelom zbog manje naplate poreza na korištenje javnih površina (-266.628,18).</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656.388,29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332.809,73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w:t>
            </w:r>
          </w:p>
        </w:tc>
      </w:tr>
    </w:tbl>
    <w:p>
      <w:pPr>
        <w:spacing w:before="0" w:after="0"/>
      </w:pPr>
    </w:p>
    <w:p>
      <w:pPr>
        <w:jc w:val="both"/>
        <w:pStyle w:val="Normal"/>
        <w:spacing w:line="240" w:lineRule="auto"/>
      </w:pPr>
      <w:r>
        <w:rPr>
          <w:sz w:val="24"/>
          <w:rFonts w:ascii="Times New Roman" w:hAnsi="Times New Roman"/>
        </w:rPr>
        <w:t>Na smanjeno ostvarenje pomoći iz inozemstva i od subjekata unutar općeg proračuna (-323.578,56) najvećim je dijelom utjecalo umanjenje ostvarenja pomoći proračunu i izvanproračunskim korisnicima iz drugih proračuna i to kapitalne pomoći iz državnog proračuna (--200.469,50)  te kapitalne pomoći temeljem prijenosa Eu sredstava (-136.952,51).</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591.128,07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940.248,23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w:t>
            </w:r>
          </w:p>
        </w:tc>
      </w:tr>
    </w:tbl>
    <w:p>
      <w:pPr>
        <w:spacing w:before="0" w:after="0"/>
      </w:pPr>
    </w:p>
    <w:p>
      <w:pPr>
        <w:jc w:val="both"/>
        <w:pStyle w:val="Normal"/>
        <w:spacing w:line="240" w:lineRule="auto"/>
      </w:pPr>
      <w:r>
        <w:rPr>
          <w:sz w:val="24"/>
          <w:rFonts w:ascii="Times New Roman" w:hAnsi="Times New Roman"/>
        </w:rPr>
        <w:t>Na povećanje ostvarenja prihoda od imovine (+349.120,16) utjecalo je povećanje ostvarenja prihoda od nefinancijske imovine (+354.012,45) i to prihoda od zakupa i iznajmljivanja imovine (+336.101,10) od čega se izdvajamo povećanje ostvarenja prihoda od zakupa turističkog zemljišta (hotela i turističkih naselja te kampova) (+363.785,04).</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417.624,81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753.725,91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w:t>
            </w:r>
          </w:p>
        </w:tc>
      </w:tr>
    </w:tbl>
    <w:p>
      <w:pPr>
        <w:spacing w:before="0" w:after="0"/>
      </w:pPr>
    </w:p>
    <w:p>
      <w:pPr>
        <w:jc w:val="both"/>
        <w:pStyle w:val="Normal"/>
        <w:spacing w:line="240" w:lineRule="auto"/>
      </w:pPr>
      <w:r>
        <w:rPr>
          <w:sz w:val="24"/>
          <w:rFonts w:ascii="Times New Roman" w:hAnsi="Times New Roman"/>
        </w:rPr>
        <w:t>Ovdje izdvajamo povećanje ostvarenja prihoda od zakupa turističkog zemljišta (hotela i turističkih naselja te kampova) (+363.785,04).</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1.042.524,20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1.475.287,02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w:t>
            </w:r>
          </w:p>
        </w:tc>
      </w:tr>
    </w:tbl>
    <w:p>
      <w:pPr>
        <w:spacing w:before="0" w:after="0"/>
      </w:pPr>
    </w:p>
    <w:p>
      <w:pPr>
        <w:jc w:val="both"/>
        <w:pStyle w:val="Normal"/>
        <w:spacing w:line="240" w:lineRule="auto"/>
      </w:pPr>
      <w:r>
        <w:rPr>
          <w:sz w:val="24"/>
          <w:rFonts w:ascii="Times New Roman" w:hAnsi="Times New Roman"/>
        </w:rPr>
        <w:t>Povećanje izvršenja rashoda poslovanja posljedica je povećanja rashoda za zaposlene u gradskoj upravi i ustanovama kojih je Grad osnivač.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2.223.982,82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2.908.188,59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w:t>
            </w:r>
          </w:p>
        </w:tc>
      </w:tr>
    </w:tbl>
    <w:p>
      <w:pPr>
        <w:spacing w:before="0" w:after="0"/>
      </w:pPr>
    </w:p>
    <w:p>
      <w:pPr>
        <w:jc w:val="both"/>
        <w:pStyle w:val="Normal"/>
        <w:spacing w:line="240" w:lineRule="auto"/>
      </w:pPr>
      <w:r>
        <w:rPr>
          <w:sz w:val="24"/>
          <w:rFonts w:ascii="Times New Roman" w:hAnsi="Times New Roman"/>
        </w:rPr>
        <w:t>Povećano izvršenje materijalnih rashoda (+684.205,77) utjecalo je povećanje izvršenja rashoda za usluge (+636.540,20).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1.916.513,37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2.553.053,57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w:t>
            </w:r>
          </w:p>
        </w:tc>
      </w:tr>
    </w:tbl>
    <w:p>
      <w:pPr>
        <w:spacing w:before="0" w:after="0"/>
      </w:pPr>
    </w:p>
    <w:p>
      <w:pPr>
        <w:jc w:val="both"/>
        <w:pStyle w:val="Normal"/>
        <w:spacing w:line="240" w:lineRule="auto"/>
      </w:pPr>
      <w:r>
        <w:rPr>
          <w:sz w:val="24"/>
          <w:rFonts w:ascii="Times New Roman" w:hAnsi="Times New Roman"/>
        </w:rPr>
        <w:t>Na povećano izvršenje rashoda za usluge (+636.540,20) najvećim su dijelom utjecala povećanja rashoda za tekuće i investicijsko održavanje (+556.763,13)  </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756.270,36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1.313.033,49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173,6</w:t>
            </w:r>
          </w:p>
        </w:tc>
      </w:tr>
    </w:tbl>
    <w:p>
      <w:pPr>
        <w:spacing w:before="0" w:after="0"/>
      </w:pPr>
    </w:p>
    <w:p>
      <w:pPr>
        <w:jc w:val="both"/>
        <w:pStyle w:val="Normal"/>
        <w:spacing w:line="240" w:lineRule="auto"/>
      </w:pPr>
      <w:r>
        <w:rPr>
          <w:sz w:val="24"/>
          <w:rFonts w:ascii="Times New Roman" w:hAnsi="Times New Roman"/>
        </w:rPr>
        <w:t>Do povećanog izvršenja na ovom odjeljku, u odnosu na promatrano razdoblje prošle godine, došlo je zbog povećanja rashoda za tekuće i investicijsko održavanje građevinskih objekata - osn.račun 32321  (+453.597,74).</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308.172,39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384.990,87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w:t>
            </w:r>
          </w:p>
        </w:tc>
      </w:tr>
    </w:tbl>
    <w:p>
      <w:pPr>
        <w:spacing w:before="0" w:after="0"/>
      </w:pPr>
    </w:p>
    <w:p>
      <w:pPr>
        <w:jc w:val="both"/>
        <w:pStyle w:val="Normal"/>
        <w:spacing w:line="240" w:lineRule="auto"/>
      </w:pPr>
      <w:r>
        <w:rPr>
          <w:sz w:val="24"/>
          <w:rFonts w:ascii="Times New Roman" w:hAnsi="Times New Roman"/>
        </w:rPr>
        <w:t>Na povećano izvršenje subvencija utjecalo je veće izvršenje subvencija trgovačkim društvima u javnom sektoru i to, prije svega, za održavanje sportskih objekata u vlasništvu Grada.</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3.138.149,59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4.210.343,90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w:t>
            </w:r>
          </w:p>
        </w:tc>
      </w:tr>
    </w:tbl>
    <w:p>
      <w:pPr>
        <w:spacing w:before="0" w:after="0"/>
      </w:pPr>
    </w:p>
    <w:p>
      <w:pPr>
        <w:jc w:val="both"/>
        <w:pStyle w:val="Normal"/>
        <w:spacing w:line="240" w:lineRule="auto"/>
      </w:pPr>
      <w:r>
        <w:rPr>
          <w:sz w:val="24"/>
          <w:rFonts w:ascii="Times New Roman" w:hAnsi="Times New Roman"/>
        </w:rPr>
        <w:t>Na povećano izvršenje pomoći danih u inozemstvo i unutar općeg proračuna utjecalo je značajno veće ostvarenje tekućih pomoći drugom proračunu i izvanproračunskim korisnicima (Županijskoj upravi za ceste zbog izvanrednog održavanja županijske ceste 5096. iznos od 195.000,00) te, iznad svega, povećanje izvršenja prijenosa korisnicima za financiranje rashoda poslovanja (+679.590,70) uslijed povećanja plaća proračunskim korisnicima sredinom prošle godine.</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2.819.200,29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3.702.962,78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w:t>
            </w:r>
          </w:p>
        </w:tc>
      </w:tr>
    </w:tbl>
    <w:p>
      <w:pPr>
        <w:spacing w:before="0" w:after="0"/>
      </w:pPr>
    </w:p>
    <w:p>
      <w:pPr>
        <w:jc w:val="both"/>
        <w:pStyle w:val="Normal"/>
        <w:spacing w:line="240" w:lineRule="auto"/>
      </w:pPr>
      <w:r>
        <w:rPr>
          <w:sz w:val="24"/>
          <w:rFonts w:ascii="Times New Roman" w:hAnsi="Times New Roman"/>
        </w:rPr>
        <w:t>Veći dio povećanog izvšenja je posljedica uvećanih rashoda za plaće za ustanove kojih je Grad osnivač (btto plaće s naknadama: + 679.590,70)</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363.913,56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467.500,09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w:t>
            </w:r>
          </w:p>
        </w:tc>
      </w:tr>
    </w:tbl>
    <w:p>
      <w:pPr>
        <w:spacing w:before="0" w:after="0"/>
      </w:pPr>
    </w:p>
    <w:p>
      <w:pPr>
        <w:jc w:val="both"/>
        <w:pStyle w:val="Normal"/>
        <w:spacing w:line="240" w:lineRule="auto"/>
      </w:pPr>
      <w:r>
        <w:rPr>
          <w:sz w:val="24"/>
          <w:rFonts w:ascii="Times New Roman" w:hAnsi="Times New Roman"/>
        </w:rPr>
        <w:t>Značajno veće izvršenje naknada građanima i kućanstvima na temelju osiguranja i druge naknade rezultat je većeg izvršenja naknada građanima i kućanstvima u novcu odnosno za socijalne potpore (+60.629,20) te stipendije učenicima i studentima (+42.360,00).</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1.068.195,67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1.196.297,39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w:t>
            </w:r>
          </w:p>
        </w:tc>
      </w:tr>
    </w:tbl>
    <w:p>
      <w:pPr>
        <w:spacing w:before="0" w:after="0"/>
      </w:pPr>
    </w:p>
    <w:p>
      <w:pPr>
        <w:jc w:val="both"/>
        <w:pStyle w:val="Normal"/>
        <w:spacing w:line="240" w:lineRule="auto"/>
      </w:pPr>
      <w:r>
        <w:rPr>
          <w:sz w:val="24"/>
          <w:rFonts w:ascii="Times New Roman" w:hAnsi="Times New Roman"/>
        </w:rPr>
        <w:t>Veće izvršenje na ovoj skupini računa posljedica je najvećim dijelom povećanja rashoda za djelovanje sportskih klubova (+106.146,67).</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neproizvedene dugotrajne imovine (šifre 711+712)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323.295,02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1.239.379,61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383,4</w:t>
            </w:r>
          </w:p>
        </w:tc>
      </w:tr>
    </w:tbl>
    <w:p>
      <w:pPr>
        <w:spacing w:before="0" w:after="0"/>
      </w:pPr>
    </w:p>
    <w:p>
      <w:pPr>
        <w:jc w:val="both"/>
        <w:pStyle w:val="Normal"/>
        <w:spacing w:line="240" w:lineRule="auto"/>
      </w:pPr>
      <w:r>
        <w:rPr>
          <w:sz w:val="24"/>
          <w:rFonts w:ascii="Times New Roman" w:hAnsi="Times New Roman"/>
        </w:rPr>
        <w:t>Na povećanje ostvarenja prihoda od prodaje neproizvedene dugotrajne imovine (+916.084,59) utjecalo je povećanje ostvarenja prihoda od prodaje materijalne imovine (zemljišta) i to, iznad svega, građevinskog zemljišta (+880.949,22).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materijalne imovine - prirodnih bogatstava (šifre 7111 do 7113)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85.420,82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987.510,04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1156,1</w:t>
            </w:r>
          </w:p>
        </w:tc>
      </w:tr>
    </w:tbl>
    <w:p>
      <w:pPr>
        <w:spacing w:before="0" w:after="0"/>
      </w:pPr>
    </w:p>
    <w:p>
      <w:pPr>
        <w:jc w:val="both"/>
        <w:pStyle w:val="Normal"/>
        <w:spacing w:line="240" w:lineRule="auto"/>
      </w:pPr>
      <w:r>
        <w:rPr>
          <w:sz w:val="24"/>
          <w:rFonts w:ascii="Times New Roman" w:hAnsi="Times New Roman"/>
        </w:rPr>
        <w:t>Ovdje izdvajamo povećanje ostvarenja prihoda od prodaje građevinskog zemljišta (+880.949,22).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111.567,03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34.177,67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w:t>
            </w:r>
          </w:p>
        </w:tc>
      </w:tr>
    </w:tbl>
    <w:p>
      <w:pPr>
        <w:spacing w:before="0" w:after="0"/>
      </w:pPr>
    </w:p>
    <w:p>
      <w:pPr>
        <w:jc w:val="both"/>
        <w:pStyle w:val="Normal"/>
        <w:spacing w:line="240" w:lineRule="auto"/>
      </w:pPr>
      <w:r>
        <w:rPr>
          <w:sz w:val="24"/>
          <w:rFonts w:ascii="Times New Roman" w:hAnsi="Times New Roman"/>
        </w:rPr>
        <w:t>Na smanjenje ostvarenja prihoda od prodaje proizvedene dugotrajne imovine utjecalo je smanjenje ostvarenja prihoda od prodaje stambenih objekata u vlasništvu Grada (-75.854,74).</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111.567,03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34.177,67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w:t>
            </w:r>
          </w:p>
        </w:tc>
      </w:tr>
    </w:tbl>
    <w:p>
      <w:pPr>
        <w:spacing w:before="0" w:after="0"/>
      </w:pPr>
    </w:p>
    <w:p>
      <w:pPr>
        <w:jc w:val="both"/>
        <w:pStyle w:val="Normal"/>
        <w:spacing w:line="240" w:lineRule="auto"/>
      </w:pPr>
      <w:r>
        <w:rPr>
          <w:sz w:val="24"/>
          <w:rFonts w:ascii="Times New Roman" w:hAnsi="Times New Roman"/>
        </w:rPr>
        <w:t>Na smanjenje ostvarenja prihoda od prodaje proizvedene dugotrajne imovine utjecalo je smanjenje ostvarenja prihoda od prodaje stambenih objekata u vlasništvu Grada (-75.854,74).</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106.567,03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31.258,34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w:t>
            </w:r>
          </w:p>
        </w:tc>
      </w:tr>
    </w:tbl>
    <w:p>
      <w:pPr>
        <w:spacing w:before="0" w:after="0"/>
      </w:pPr>
    </w:p>
    <w:p>
      <w:pPr>
        <w:jc w:val="both"/>
        <w:pStyle w:val="Normal"/>
        <w:spacing w:line="240" w:lineRule="auto"/>
      </w:pPr>
      <w:r>
        <w:rPr>
          <w:sz w:val="24"/>
          <w:rFonts w:ascii="Times New Roman" w:hAnsi="Times New Roman"/>
        </w:rPr>
        <w:t>Na smanjenje ostvarenja prihoda od prodaje proizvedene dugotrajne imovine utjecalo je smanjenje ostvarenja prihoda od prodaje stambenih objekata u vlasništvu Grada (-75.854,74).</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neproizvedene dugotrajne imovine (šifre 411+412)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141.789,99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Style w:val="Normal"/>
        <w:spacing w:line="240" w:lineRule="auto"/>
      </w:pPr>
      <w:r>
        <w:rPr>
          <w:sz w:val="24"/>
          <w:rFonts w:ascii="Times New Roman" w:hAnsi="Times New Roman"/>
        </w:rPr>
        <w:t>Na povećanje izvršenja rashoda za nabavu neproizvedene dugotrajne imovine utjecalo je povećanje rashoda za nabavu zemljišta u postupku izvlaštenja za gradnju nekoliko obilaznica koje se planiraju graditi u narednom srednjeročnom razdoblju. </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650.716,95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321.862,38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w:t>
            </w:r>
          </w:p>
        </w:tc>
      </w:tr>
    </w:tbl>
    <w:p>
      <w:pPr>
        <w:spacing w:before="0" w:after="0"/>
      </w:pPr>
    </w:p>
    <w:p>
      <w:pPr>
        <w:jc w:val="both"/>
        <w:pStyle w:val="Normal"/>
        <w:spacing w:line="240" w:lineRule="auto"/>
      </w:pPr>
      <w:r>
        <w:rPr>
          <w:sz w:val="24"/>
          <w:rFonts w:ascii="Times New Roman" w:hAnsi="Times New Roman"/>
        </w:rPr>
        <w:t>Na smanjenje izvršenja rashoda za nabavu proizvedene dugotrajne imovine utjecalo je smanjenje rashoda za gradnju cesta i prometnica (-225.059,80) te ostalih građevinskih objekata kao što je primjerice bilo popločenje platoa ispred crkve (-142.697,36).  Povećanje iako ne značajno u apsolutnom iznosu (+37.235,80) već više u  relativnom iznosu (+129,92%) zabilježeno je kod ulaganja u višegodišnje nasade ili konkretno u zelenilo i nasade na javnim površinama na području grada.</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2.087.962,44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5.003.265,70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239,6</w:t>
            </w:r>
          </w:p>
        </w:tc>
      </w:tr>
    </w:tbl>
    <w:p>
      <w:pPr>
        <w:spacing w:before="0" w:after="0"/>
      </w:pPr>
    </w:p>
    <w:p>
      <w:pPr>
        <w:jc w:val="both"/>
        <w:pStyle w:val="Normal"/>
        <w:spacing w:line="240" w:lineRule="auto"/>
      </w:pPr>
      <w:r>
        <w:rPr>
          <w:sz w:val="24"/>
          <w:rFonts w:ascii="Times New Roman" w:hAnsi="Times New Roman"/>
        </w:rPr>
        <w:t>Bilježi se povećanje dodatnih ulaganja na građevinskim objektima uslijed značajnih ulaganja na većem broju objekata u ovoj godini (Dječji vrtić Mondelaco, energetska obnova dječjeg vrtića Neven, rekonstrukcija ulice Caraducci, rekonstrukcija Centra za mlade, spomenik hrvatskim braniteljima na Trgu na lokvi.,..)</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2.085.712,44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4.984.953,20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239,0</w:t>
            </w:r>
          </w:p>
        </w:tc>
      </w:tr>
    </w:tbl>
    <w:p>
      <w:pPr>
        <w:spacing w:before="0" w:after="0"/>
      </w:pPr>
    </w:p>
    <w:p>
      <w:pPr>
        <w:jc w:val="both"/>
        <w:pStyle w:val="Normal"/>
        <w:spacing w:line="240" w:lineRule="auto"/>
      </w:pPr>
      <w:r>
        <w:rPr>
          <w:sz w:val="24"/>
          <w:rFonts w:ascii="Times New Roman" w:hAnsi="Times New Roman"/>
        </w:rPr>
        <w:t>Bilježi se povećanje dodatnih ulaganja na građevinskim objektima uslijed značajnih ulaganja na većem broju objekata u ovoj godini (Dječji vrtić Mondelaco, energetska obnova dječjeg vrtića Neven, rekonstrukcija ulice Caraducci, rekonstrukcija Centra za mlade, spomenik hrvatskim braniteljima na Trgu na lokvi.,..)</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4.493.705,98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Obrazloženje za saldo na skupini 24 je dano na kraju obrasca (kod stanja nedospjelih obveza - skupina 24).</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Sve otvorene obveze na dan 30.lipnja 2025. su nedospjele.</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1.394.953,10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Do povećanja obveza na ovoj skupini računa (saldo na 30.6.2025. iznosi 1.394.953,10)  došlo je zbog povećanog obima ispostavljenih situacija sa danom 30.lipnja 2025. godine uslijed povećanog broja investicija na području grada (navedene su u ovim BIlješakama). Naravno, radi se o investicijama koje su klasificirane i planirane kao dodatna ulaganja (245) kod kojih saldo obveza na navedeni datum iznosi 1.211.138,76.</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2775233620f44d0" /></Relationships>
</file>