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724" w:rsidRPr="00B37724" w:rsidRDefault="00B37724" w:rsidP="00B37724">
      <w:pPr>
        <w:spacing w:after="0" w:line="240" w:lineRule="auto"/>
        <w:ind w:firstLine="708"/>
        <w:jc w:val="both"/>
        <w:rPr>
          <w:rFonts w:ascii="Arial" w:eastAsia="Calibri" w:hAnsi="Arial" w:cs="Arial"/>
          <w:lang w:eastAsia="hr-HR"/>
        </w:rPr>
      </w:pPr>
      <w:bookmarkStart w:id="0" w:name="_GoBack"/>
      <w:bookmarkEnd w:id="0"/>
      <w:r w:rsidRPr="00B37724">
        <w:rPr>
          <w:rFonts w:ascii="Arial" w:eastAsia="Calibri" w:hAnsi="Arial" w:cs="Arial"/>
          <w:lang w:eastAsia="hr-HR"/>
        </w:rPr>
        <w:t>Na temelju odredbe članka 17. Zakona o ublažavanju i uklanjanju posljedica prirodnih nepogoda („Narodne novine“ br. 16/19) i odredbe članka 65. Statuta Grada Rovinja-Rovigno („Službeni glasnik“ Gr</w:t>
      </w:r>
      <w:r w:rsidR="007C7445">
        <w:rPr>
          <w:rFonts w:ascii="Arial" w:eastAsia="Calibri" w:hAnsi="Arial" w:cs="Arial"/>
          <w:lang w:eastAsia="hr-HR"/>
        </w:rPr>
        <w:t>ada Rovinja-Rovigno,  br. 3/18,</w:t>
      </w:r>
      <w:r w:rsidRPr="00B37724">
        <w:rPr>
          <w:rFonts w:ascii="Arial" w:eastAsia="Calibri" w:hAnsi="Arial" w:cs="Arial"/>
          <w:lang w:eastAsia="hr-HR"/>
        </w:rPr>
        <w:t xml:space="preserve"> 5/18</w:t>
      </w:r>
      <w:r w:rsidR="007C7445">
        <w:rPr>
          <w:rFonts w:ascii="Arial" w:eastAsia="Calibri" w:hAnsi="Arial" w:cs="Arial"/>
          <w:lang w:eastAsia="hr-HR"/>
        </w:rPr>
        <w:t xml:space="preserve"> i 2/21</w:t>
      </w:r>
      <w:r w:rsidRPr="00B37724">
        <w:rPr>
          <w:rFonts w:ascii="Arial" w:eastAsia="Calibri" w:hAnsi="Arial" w:cs="Arial"/>
          <w:lang w:eastAsia="hr-HR"/>
        </w:rPr>
        <w:t xml:space="preserve">) Gradsko vijeće Grada Rovinja-Rovigno na sjednici održanoj </w:t>
      </w:r>
      <w:r w:rsidRPr="00B37724">
        <w:rPr>
          <w:rFonts w:ascii="Arial" w:eastAsia="Calibri" w:hAnsi="Arial" w:cs="Arial"/>
          <w:color w:val="FF0000"/>
          <w:lang w:eastAsia="hr-HR"/>
        </w:rPr>
        <w:t>…..</w:t>
      </w:r>
      <w:r w:rsidRPr="00B37724">
        <w:rPr>
          <w:rFonts w:ascii="Arial" w:eastAsia="Calibri" w:hAnsi="Arial" w:cs="Arial"/>
          <w:lang w:eastAsia="hr-HR"/>
        </w:rPr>
        <w:t>godine donijelo je sljedeći</w:t>
      </w:r>
    </w:p>
    <w:p w:rsidR="00F60BD6" w:rsidRPr="00F60BD6" w:rsidRDefault="00F60BD6" w:rsidP="00F60BD6">
      <w:pPr>
        <w:shd w:val="clear" w:color="auto" w:fill="FFFFFF"/>
        <w:spacing w:after="75" w:line="240" w:lineRule="auto"/>
        <w:jc w:val="center"/>
        <w:rPr>
          <w:rFonts w:ascii="Arial" w:eastAsia="Times New Roman" w:hAnsi="Arial" w:cs="Arial"/>
          <w:color w:val="333333"/>
          <w:lang w:eastAsia="hr-HR"/>
        </w:rPr>
      </w:pPr>
      <w:r w:rsidRPr="00F60BD6">
        <w:rPr>
          <w:rFonts w:ascii="Arial" w:eastAsia="Times New Roman" w:hAnsi="Arial" w:cs="Arial"/>
          <w:b/>
          <w:bCs/>
          <w:color w:val="000000"/>
          <w:lang w:eastAsia="hr-HR"/>
        </w:rPr>
        <w:t> </w:t>
      </w:r>
    </w:p>
    <w:p w:rsidR="00F60BD6" w:rsidRPr="00F60BD6" w:rsidRDefault="00F60BD6" w:rsidP="00F60BD6">
      <w:pPr>
        <w:shd w:val="clear" w:color="auto" w:fill="FFFFFF"/>
        <w:spacing w:after="75" w:line="240" w:lineRule="auto"/>
        <w:jc w:val="center"/>
        <w:rPr>
          <w:rFonts w:ascii="Arial" w:eastAsia="Times New Roman" w:hAnsi="Arial" w:cs="Arial"/>
          <w:color w:val="333333"/>
          <w:sz w:val="28"/>
          <w:szCs w:val="28"/>
          <w:lang w:eastAsia="hr-HR"/>
        </w:rPr>
      </w:pPr>
    </w:p>
    <w:p w:rsidR="00465FD1" w:rsidRPr="00445AEC" w:rsidRDefault="00445AEC" w:rsidP="00F60BD6">
      <w:pPr>
        <w:shd w:val="clear" w:color="auto" w:fill="FFFFFF"/>
        <w:spacing w:after="75" w:line="240" w:lineRule="auto"/>
        <w:jc w:val="center"/>
        <w:rPr>
          <w:rFonts w:ascii="Arial" w:eastAsia="Times New Roman" w:hAnsi="Arial" w:cs="Arial"/>
          <w:b/>
          <w:bCs/>
          <w:color w:val="000000" w:themeColor="text1"/>
          <w:sz w:val="24"/>
          <w:szCs w:val="24"/>
          <w:lang w:eastAsia="hr-HR"/>
        </w:rPr>
      </w:pPr>
      <w:r>
        <w:rPr>
          <w:rFonts w:ascii="Arial" w:eastAsia="Times New Roman" w:hAnsi="Arial" w:cs="Arial"/>
          <w:b/>
          <w:bCs/>
          <w:color w:val="000000" w:themeColor="text1"/>
          <w:sz w:val="24"/>
          <w:szCs w:val="24"/>
          <w:lang w:eastAsia="hr-HR"/>
        </w:rPr>
        <w:t xml:space="preserve">Plan djelovanja </w:t>
      </w:r>
      <w:r w:rsidR="00F60BD6" w:rsidRPr="00445AEC">
        <w:rPr>
          <w:rFonts w:ascii="Arial" w:eastAsia="Times New Roman" w:hAnsi="Arial" w:cs="Arial"/>
          <w:b/>
          <w:bCs/>
          <w:color w:val="000000" w:themeColor="text1"/>
          <w:sz w:val="24"/>
          <w:szCs w:val="24"/>
          <w:lang w:eastAsia="hr-HR"/>
        </w:rPr>
        <w:t xml:space="preserve">Grada </w:t>
      </w:r>
      <w:r w:rsidR="003A1F1E" w:rsidRPr="00445AEC">
        <w:rPr>
          <w:rFonts w:ascii="Arial" w:eastAsia="Times New Roman" w:hAnsi="Arial" w:cs="Arial"/>
          <w:b/>
          <w:bCs/>
          <w:color w:val="000000" w:themeColor="text1"/>
          <w:sz w:val="24"/>
          <w:szCs w:val="24"/>
          <w:lang w:eastAsia="hr-HR"/>
        </w:rPr>
        <w:t>Rovinja-Rovigno</w:t>
      </w:r>
      <w:r w:rsidR="00F60BD6" w:rsidRPr="00445AEC">
        <w:rPr>
          <w:rFonts w:ascii="Arial" w:eastAsia="Times New Roman" w:hAnsi="Arial" w:cs="Arial"/>
          <w:b/>
          <w:bCs/>
          <w:color w:val="000000" w:themeColor="text1"/>
          <w:sz w:val="24"/>
          <w:szCs w:val="24"/>
          <w:lang w:eastAsia="hr-HR"/>
        </w:rPr>
        <w:t xml:space="preserve"> u području prirodnih nepogoda </w:t>
      </w:r>
    </w:p>
    <w:p w:rsidR="00F60BD6" w:rsidRPr="00445AEC" w:rsidRDefault="00F60BD6" w:rsidP="00F60BD6">
      <w:pPr>
        <w:shd w:val="clear" w:color="auto" w:fill="FFFFFF"/>
        <w:spacing w:after="75" w:line="240" w:lineRule="auto"/>
        <w:jc w:val="center"/>
        <w:rPr>
          <w:rFonts w:ascii="Arial" w:eastAsia="Times New Roman" w:hAnsi="Arial" w:cs="Arial"/>
          <w:color w:val="000000" w:themeColor="text1"/>
          <w:sz w:val="24"/>
          <w:szCs w:val="24"/>
          <w:lang w:eastAsia="hr-HR"/>
        </w:rPr>
      </w:pPr>
      <w:r w:rsidRPr="00445AEC">
        <w:rPr>
          <w:rFonts w:ascii="Arial" w:eastAsia="Times New Roman" w:hAnsi="Arial" w:cs="Arial"/>
          <w:b/>
          <w:bCs/>
          <w:color w:val="000000" w:themeColor="text1"/>
          <w:sz w:val="24"/>
          <w:szCs w:val="24"/>
          <w:lang w:eastAsia="hr-HR"/>
        </w:rPr>
        <w:t>za 202</w:t>
      </w:r>
      <w:r w:rsidR="00AE143C">
        <w:rPr>
          <w:rFonts w:ascii="Arial" w:eastAsia="Times New Roman" w:hAnsi="Arial" w:cs="Arial"/>
          <w:b/>
          <w:bCs/>
          <w:color w:val="000000" w:themeColor="text1"/>
          <w:sz w:val="24"/>
          <w:szCs w:val="24"/>
          <w:lang w:eastAsia="hr-HR"/>
        </w:rPr>
        <w:t>4</w:t>
      </w:r>
      <w:r w:rsidRPr="00445AEC">
        <w:rPr>
          <w:rFonts w:ascii="Arial" w:eastAsia="Times New Roman" w:hAnsi="Arial" w:cs="Arial"/>
          <w:b/>
          <w:bCs/>
          <w:color w:val="000000" w:themeColor="text1"/>
          <w:sz w:val="24"/>
          <w:szCs w:val="24"/>
          <w:lang w:eastAsia="hr-HR"/>
        </w:rPr>
        <w:t>. godinu</w:t>
      </w:r>
    </w:p>
    <w:p w:rsidR="00465FD1" w:rsidRDefault="00465FD1" w:rsidP="00F60BD6">
      <w:pPr>
        <w:shd w:val="clear" w:color="auto" w:fill="FFFFFF"/>
        <w:spacing w:after="75" w:line="240" w:lineRule="auto"/>
        <w:jc w:val="center"/>
        <w:rPr>
          <w:rFonts w:ascii="Arial" w:eastAsia="Times New Roman" w:hAnsi="Arial" w:cs="Arial"/>
          <w:b/>
          <w:bCs/>
          <w:color w:val="000000" w:themeColor="text1"/>
          <w:lang w:eastAsia="hr-HR"/>
        </w:rPr>
      </w:pPr>
    </w:p>
    <w:p w:rsidR="00F60BD6" w:rsidRPr="00F60BD6" w:rsidRDefault="00F60BD6" w:rsidP="00F60BD6">
      <w:pPr>
        <w:shd w:val="clear" w:color="auto" w:fill="FFFFFF"/>
        <w:spacing w:after="75" w:line="240" w:lineRule="auto"/>
        <w:jc w:val="center"/>
        <w:rPr>
          <w:rFonts w:ascii="Arial" w:eastAsia="Times New Roman" w:hAnsi="Arial" w:cs="Arial"/>
          <w:color w:val="000000" w:themeColor="text1"/>
          <w:lang w:eastAsia="hr-HR"/>
        </w:rPr>
      </w:pPr>
      <w:r w:rsidRPr="00F60BD6">
        <w:rPr>
          <w:rFonts w:ascii="Arial" w:eastAsia="Times New Roman" w:hAnsi="Arial" w:cs="Arial"/>
          <w:b/>
          <w:bCs/>
          <w:color w:val="000000" w:themeColor="text1"/>
          <w:lang w:eastAsia="hr-HR"/>
        </w:rPr>
        <w:t> </w:t>
      </w:r>
    </w:p>
    <w:p w:rsidR="00F60BD6" w:rsidRPr="00F60BD6" w:rsidRDefault="00F60BD6" w:rsidP="00F60BD6">
      <w:pPr>
        <w:shd w:val="clear" w:color="auto" w:fill="FFFFFF"/>
        <w:spacing w:after="75" w:line="240" w:lineRule="auto"/>
        <w:jc w:val="center"/>
        <w:rPr>
          <w:rFonts w:ascii="Arial" w:eastAsia="Times New Roman" w:hAnsi="Arial" w:cs="Arial"/>
          <w:color w:val="000000" w:themeColor="text1"/>
          <w:lang w:eastAsia="hr-HR"/>
        </w:rPr>
      </w:pPr>
      <w:r w:rsidRPr="00F60BD6">
        <w:rPr>
          <w:rFonts w:ascii="Arial" w:eastAsia="Times New Roman" w:hAnsi="Arial" w:cs="Arial"/>
          <w:b/>
          <w:bCs/>
          <w:color w:val="000000" w:themeColor="text1"/>
          <w:lang w:eastAsia="hr-HR"/>
        </w:rPr>
        <w:t> </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b/>
          <w:bCs/>
          <w:color w:val="000000" w:themeColor="text1"/>
          <w:lang w:eastAsia="hr-HR"/>
        </w:rPr>
        <w:t>1. UVOD</w:t>
      </w:r>
    </w:p>
    <w:p w:rsidR="00445AEC" w:rsidRDefault="00445AEC" w:rsidP="00F60BD6">
      <w:pPr>
        <w:shd w:val="clear" w:color="auto" w:fill="FFFFFF"/>
        <w:spacing w:after="75" w:line="240" w:lineRule="auto"/>
        <w:jc w:val="both"/>
        <w:rPr>
          <w:rFonts w:ascii="Arial" w:eastAsia="Times New Roman" w:hAnsi="Arial" w:cs="Arial"/>
          <w:b/>
          <w:bCs/>
          <w:color w:val="000000" w:themeColor="text1"/>
          <w:lang w:eastAsia="hr-HR"/>
        </w:rPr>
      </w:pP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Stupanjem na snagu Zakona o ublažavanju i uklanjanju posljedica prirodnih nepogoda („Narodne novine“ broj 16/19) – </w:t>
      </w:r>
      <w:r w:rsidRPr="00F60BD6">
        <w:rPr>
          <w:rFonts w:ascii="Arial" w:eastAsia="Times New Roman" w:hAnsi="Arial" w:cs="Arial"/>
          <w:i/>
          <w:iCs/>
          <w:color w:val="000000" w:themeColor="text1"/>
          <w:lang w:eastAsia="hr-HR"/>
        </w:rPr>
        <w:t>u daljnjem tekstu: Zakon,</w:t>
      </w:r>
      <w:r w:rsidRPr="00F60BD6">
        <w:rPr>
          <w:rFonts w:ascii="Arial" w:eastAsia="Times New Roman" w:hAnsi="Arial" w:cs="Arial"/>
          <w:color w:val="000000" w:themeColor="text1"/>
          <w:lang w:eastAsia="hr-HR"/>
        </w:rPr>
        <w:t> sve jedinice lokalne samouprave, dužne su izraditi Plan djelovanja u području prirodnih nepogoda (u daljnjem tekstu: Plan).</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Prirodnom nepogodom, u smislu Zakona,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U tom smislu, prirodnom nepogodom smatraju se: potres, olujni i orkanski vjetar, požar, poplava, suša, tuča, kiša koja se smrzava u dodiru s podlogom, mraz, izvanredno velika visina snijega, klizanje, odronjavanje zemljišta, te druge pojave takva opsega koje, ovisno o mjesnim prilikama, uzrokuju bitne poremećaje u životu ljudi na određenom području.</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Svrha ovoga Plana je određivanje postupanja nadležnih tijela te određivanje mjera i postupanja djelomične sanacije šteta od prirodnih nepogoda koje su navedene Zakonom.</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Nositelji provedbe mjera iz Plana jesu:</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xml:space="preserve">– Gradsko povjerenstvo za procjenu šteta od prirodnih nepogoda Grada </w:t>
      </w:r>
      <w:r w:rsidR="003A1F1E" w:rsidRPr="00465FD1">
        <w:rPr>
          <w:rFonts w:ascii="Arial" w:eastAsia="Times New Roman" w:hAnsi="Arial" w:cs="Arial"/>
          <w:color w:val="000000" w:themeColor="text1"/>
          <w:lang w:eastAsia="hr-HR"/>
        </w:rPr>
        <w:t>Rovinja-Rovigno</w:t>
      </w:r>
      <w:r w:rsidRPr="00F60BD6">
        <w:rPr>
          <w:rFonts w:ascii="Arial" w:eastAsia="Times New Roman" w:hAnsi="Arial" w:cs="Arial"/>
          <w:color w:val="000000" w:themeColor="text1"/>
          <w:lang w:eastAsia="hr-HR"/>
        </w:rPr>
        <w:t xml:space="preserve">, kojeg imenuje Gradsko vijeće Grada </w:t>
      </w:r>
      <w:r w:rsidR="003A1F1E" w:rsidRPr="00465FD1">
        <w:rPr>
          <w:rFonts w:ascii="Arial" w:eastAsia="Times New Roman" w:hAnsi="Arial" w:cs="Arial"/>
          <w:color w:val="000000" w:themeColor="text1"/>
          <w:lang w:eastAsia="hr-HR"/>
        </w:rPr>
        <w:t>Rovinja-Rovigno</w:t>
      </w:r>
      <w:r w:rsidRPr="00F60BD6">
        <w:rPr>
          <w:rFonts w:ascii="Arial" w:eastAsia="Times New Roman" w:hAnsi="Arial" w:cs="Arial"/>
          <w:color w:val="000000" w:themeColor="text1"/>
          <w:lang w:eastAsia="hr-HR"/>
        </w:rPr>
        <w:t xml:space="preserve"> (u daljnjem tekstu: Gradsko povjerenstvo)</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xml:space="preserve">– Gradonačelnik Grada </w:t>
      </w:r>
      <w:r w:rsidR="003A1F1E" w:rsidRPr="00465FD1">
        <w:rPr>
          <w:rFonts w:ascii="Arial" w:eastAsia="Times New Roman" w:hAnsi="Arial" w:cs="Arial"/>
          <w:color w:val="000000" w:themeColor="text1"/>
          <w:lang w:eastAsia="hr-HR"/>
        </w:rPr>
        <w:t>Rovinja-Rovigno</w:t>
      </w:r>
      <w:r w:rsidRPr="00F60BD6">
        <w:rPr>
          <w:rFonts w:ascii="Arial" w:eastAsia="Times New Roman" w:hAnsi="Arial" w:cs="Arial"/>
          <w:color w:val="000000" w:themeColor="text1"/>
          <w:lang w:eastAsia="hr-HR"/>
        </w:rPr>
        <w:t xml:space="preserve"> (u daljnjem tekstu: Gradonačelnik).</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b/>
          <w:bCs/>
          <w:color w:val="000000" w:themeColor="text1"/>
          <w:lang w:eastAsia="hr-HR"/>
        </w:rPr>
        <w:t>2. POJMOVI</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Pojmovi u smislu ovoga Plana jesu:</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b/>
          <w:bCs/>
          <w:color w:val="000000" w:themeColor="text1"/>
          <w:lang w:eastAsia="hr-HR"/>
        </w:rPr>
        <w:t>Jedinstvene cijene </w:t>
      </w:r>
      <w:r w:rsidRPr="00F60BD6">
        <w:rPr>
          <w:rFonts w:ascii="Arial" w:eastAsia="Times New Roman" w:hAnsi="Arial" w:cs="Arial"/>
          <w:color w:val="000000" w:themeColor="text1"/>
          <w:lang w:eastAsia="hr-HR"/>
        </w:rPr>
        <w:t>su cijene koje donosi, objavljuje i unosi u Registar šteta Državno</w:t>
      </w:r>
      <w:r w:rsidRPr="00F60BD6">
        <w:rPr>
          <w:rFonts w:ascii="Arial" w:eastAsia="Times New Roman" w:hAnsi="Arial" w:cs="Arial"/>
          <w:b/>
          <w:bCs/>
          <w:color w:val="000000" w:themeColor="text1"/>
          <w:lang w:eastAsia="hr-HR"/>
        </w:rPr>
        <w:t> </w:t>
      </w:r>
      <w:r w:rsidRPr="00F60BD6">
        <w:rPr>
          <w:rFonts w:ascii="Arial" w:eastAsia="Times New Roman" w:hAnsi="Arial" w:cs="Arial"/>
          <w:color w:val="000000" w:themeColor="text1"/>
          <w:lang w:eastAsia="hr-HR"/>
        </w:rPr>
        <w:t>povjerenstvo za procjenu šteta od prirodnih nepogoda na prijedlog nadležnih ministarstva.</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b/>
          <w:bCs/>
          <w:color w:val="000000" w:themeColor="text1"/>
          <w:lang w:eastAsia="hr-HR"/>
        </w:rPr>
        <w:t>Katastrofa </w:t>
      </w:r>
      <w:r w:rsidRPr="00F60BD6">
        <w:rPr>
          <w:rFonts w:ascii="Arial" w:eastAsia="Times New Roman" w:hAnsi="Arial" w:cs="Arial"/>
          <w:color w:val="000000" w:themeColor="text1"/>
          <w:lang w:eastAsia="hr-HR"/>
        </w:rPr>
        <w:t>je stanje izazvano prirodnim i/ili tehničko-tehnološkim događajem koji opsegom,</w:t>
      </w:r>
      <w:r w:rsidRPr="00F60BD6">
        <w:rPr>
          <w:rFonts w:ascii="Arial" w:eastAsia="Times New Roman" w:hAnsi="Arial" w:cs="Arial"/>
          <w:b/>
          <w:bCs/>
          <w:color w:val="000000" w:themeColor="text1"/>
          <w:lang w:eastAsia="hr-HR"/>
        </w:rPr>
        <w:t> </w:t>
      </w:r>
      <w:r w:rsidRPr="00F60BD6">
        <w:rPr>
          <w:rFonts w:ascii="Arial" w:eastAsia="Times New Roman" w:hAnsi="Arial" w:cs="Arial"/>
          <w:color w:val="000000" w:themeColor="text1"/>
          <w:lang w:eastAsia="hr-HR"/>
        </w:rPr>
        <w:t>intenzitetom i neočekivanošću ugrožava zdravlje i živote većeg broja ljudi, imovinu veće vrijednosti i okoliš, a čiji nastanak nije moguće spriječiti ili posljedice otkloniti djelovanjem svih operativnih snaga sustava civilne zaštite područne (regionalne) samouprave na čijem je području događaj nastao te posljedice nastale terorizmom i ratnim djelovanjem (Zakon o sustavu civilne zaštite („Narodne novine“ broj 82/15 i 118/18).</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proofErr w:type="spellStart"/>
      <w:r w:rsidRPr="00F60BD6">
        <w:rPr>
          <w:rFonts w:ascii="Arial" w:eastAsia="Times New Roman" w:hAnsi="Arial" w:cs="Arial"/>
          <w:b/>
          <w:bCs/>
          <w:color w:val="000000" w:themeColor="text1"/>
          <w:lang w:eastAsia="hr-HR"/>
        </w:rPr>
        <w:t>Oštećenik</w:t>
      </w:r>
      <w:proofErr w:type="spellEnd"/>
      <w:r w:rsidRPr="00F60BD6">
        <w:rPr>
          <w:rFonts w:ascii="Arial" w:eastAsia="Times New Roman" w:hAnsi="Arial" w:cs="Arial"/>
          <w:b/>
          <w:bCs/>
          <w:color w:val="000000" w:themeColor="text1"/>
          <w:lang w:eastAsia="hr-HR"/>
        </w:rPr>
        <w:t> </w:t>
      </w:r>
      <w:r w:rsidRPr="00F60BD6">
        <w:rPr>
          <w:rFonts w:ascii="Arial" w:eastAsia="Times New Roman" w:hAnsi="Arial" w:cs="Arial"/>
          <w:color w:val="000000" w:themeColor="text1"/>
          <w:lang w:eastAsia="hr-HR"/>
        </w:rPr>
        <w:t>je fizička ili pravna osoba na čijoj je imovini utvrđena šteta od prirodnih nepogoda</w:t>
      </w:r>
      <w:r w:rsidRPr="00F60BD6">
        <w:rPr>
          <w:rFonts w:ascii="Arial" w:eastAsia="Times New Roman" w:hAnsi="Arial" w:cs="Arial"/>
          <w:b/>
          <w:bCs/>
          <w:color w:val="000000" w:themeColor="text1"/>
          <w:lang w:eastAsia="hr-HR"/>
        </w:rPr>
        <w:t> </w:t>
      </w:r>
      <w:r w:rsidRPr="00F60BD6">
        <w:rPr>
          <w:rFonts w:ascii="Arial" w:eastAsia="Times New Roman" w:hAnsi="Arial" w:cs="Arial"/>
          <w:color w:val="000000" w:themeColor="text1"/>
          <w:lang w:eastAsia="hr-HR"/>
        </w:rPr>
        <w:t>sukladno kriterijima iz Zakona.</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b/>
          <w:bCs/>
          <w:color w:val="000000" w:themeColor="text1"/>
          <w:lang w:eastAsia="hr-HR"/>
        </w:rPr>
        <w:lastRenderedPageBreak/>
        <w:t>Prirodnom nepogodom </w:t>
      </w:r>
      <w:r w:rsidRPr="00F60BD6">
        <w:rPr>
          <w:rFonts w:ascii="Arial" w:eastAsia="Times New Roman" w:hAnsi="Arial" w:cs="Arial"/>
          <w:color w:val="000000" w:themeColor="text1"/>
          <w:lang w:eastAsia="hr-HR"/>
        </w:rPr>
        <w:t>smatraju se iznenadne okolnosti uzrokovane nepovoljnim</w:t>
      </w:r>
      <w:r w:rsidRPr="00F60BD6">
        <w:rPr>
          <w:rFonts w:ascii="Arial" w:eastAsia="Times New Roman" w:hAnsi="Arial" w:cs="Arial"/>
          <w:b/>
          <w:bCs/>
          <w:color w:val="000000" w:themeColor="text1"/>
          <w:lang w:eastAsia="hr-HR"/>
        </w:rPr>
        <w:t> </w:t>
      </w:r>
      <w:r w:rsidRPr="00F60BD6">
        <w:rPr>
          <w:rFonts w:ascii="Arial" w:eastAsia="Times New Roman" w:hAnsi="Arial" w:cs="Arial"/>
          <w:color w:val="000000" w:themeColor="text1"/>
          <w:lang w:eastAsia="hr-HR"/>
        </w:rPr>
        <w:t>vremenskim prilikama, seizmičkim uzrocima i drugim prirodnim uzrocima koje prekidaju normalno odvijanje života, uzrokuju žrtve, štetu na imovini i/ili njezin gubitak te štetu na javnoj infrastrukturi i/ili u okolišu.</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b/>
          <w:bCs/>
          <w:color w:val="000000" w:themeColor="text1"/>
          <w:lang w:eastAsia="hr-HR"/>
        </w:rPr>
        <w:t>Registar šteta </w:t>
      </w:r>
      <w:r w:rsidRPr="00F60BD6">
        <w:rPr>
          <w:rFonts w:ascii="Arial" w:eastAsia="Times New Roman" w:hAnsi="Arial" w:cs="Arial"/>
          <w:color w:val="000000" w:themeColor="text1"/>
          <w:lang w:eastAsia="hr-HR"/>
        </w:rPr>
        <w:t>je digitalna baza podataka svih šteta nastalih zbog prirodnih nepogoda na</w:t>
      </w:r>
      <w:r w:rsidRPr="00F60BD6">
        <w:rPr>
          <w:rFonts w:ascii="Arial" w:eastAsia="Times New Roman" w:hAnsi="Arial" w:cs="Arial"/>
          <w:b/>
          <w:bCs/>
          <w:color w:val="000000" w:themeColor="text1"/>
          <w:lang w:eastAsia="hr-HR"/>
        </w:rPr>
        <w:t> </w:t>
      </w:r>
      <w:r w:rsidRPr="00F60BD6">
        <w:rPr>
          <w:rFonts w:ascii="Arial" w:eastAsia="Times New Roman" w:hAnsi="Arial" w:cs="Arial"/>
          <w:color w:val="000000" w:themeColor="text1"/>
          <w:lang w:eastAsia="hr-HR"/>
        </w:rPr>
        <w:t>području Republike Hrvatske.</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b/>
          <w:bCs/>
          <w:color w:val="000000" w:themeColor="text1"/>
          <w:lang w:eastAsia="hr-HR"/>
        </w:rPr>
        <w:t>Velika nesreća </w:t>
      </w:r>
      <w:r w:rsidRPr="00F60BD6">
        <w:rPr>
          <w:rFonts w:ascii="Arial" w:eastAsia="Times New Roman" w:hAnsi="Arial" w:cs="Arial"/>
          <w:color w:val="000000" w:themeColor="text1"/>
          <w:lang w:eastAsia="hr-HR"/>
        </w:rPr>
        <w:t>je događaj koji je prouzročen iznenadnim djelovanjem prirodnih sila,</w:t>
      </w:r>
      <w:r w:rsidRPr="00F60BD6">
        <w:rPr>
          <w:rFonts w:ascii="Arial" w:eastAsia="Times New Roman" w:hAnsi="Arial" w:cs="Arial"/>
          <w:b/>
          <w:bCs/>
          <w:color w:val="000000" w:themeColor="text1"/>
          <w:lang w:eastAsia="hr-HR"/>
        </w:rPr>
        <w:t> </w:t>
      </w:r>
      <w:r w:rsidRPr="00F60BD6">
        <w:rPr>
          <w:rFonts w:ascii="Arial" w:eastAsia="Times New Roman" w:hAnsi="Arial" w:cs="Arial"/>
          <w:color w:val="000000" w:themeColor="text1"/>
          <w:lang w:eastAsia="hr-HR"/>
        </w:rPr>
        <w:t>tehničko-tehnoloških ili drugih čimbenika s posljedicom ugrožavanja zdravlja i života građana, materijalnih i kulturnih dobara i okoliša na mjestu nastanka događaja ili širem području, čije se posljedice ne mogu sanirati samo djelovanjem žurnih službi na području njezina nastanka.</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b/>
          <w:bCs/>
          <w:color w:val="000000" w:themeColor="text1"/>
          <w:lang w:eastAsia="hr-HR"/>
        </w:rPr>
        <w:t>Žurna pomoć </w:t>
      </w:r>
      <w:r w:rsidRPr="00F60BD6">
        <w:rPr>
          <w:rFonts w:ascii="Arial" w:eastAsia="Times New Roman" w:hAnsi="Arial" w:cs="Arial"/>
          <w:color w:val="000000" w:themeColor="text1"/>
          <w:lang w:eastAsia="hr-HR"/>
        </w:rPr>
        <w:t>je pomoć koja se dodjeljuje u slučajevima u kojima su posljedice na imovini</w:t>
      </w:r>
      <w:r w:rsidRPr="00F60BD6">
        <w:rPr>
          <w:rFonts w:ascii="Arial" w:eastAsia="Times New Roman" w:hAnsi="Arial" w:cs="Arial"/>
          <w:b/>
          <w:bCs/>
          <w:color w:val="000000" w:themeColor="text1"/>
          <w:lang w:eastAsia="hr-HR"/>
        </w:rPr>
        <w:t> </w:t>
      </w:r>
      <w:r w:rsidRPr="00F60BD6">
        <w:rPr>
          <w:rFonts w:ascii="Arial" w:eastAsia="Times New Roman" w:hAnsi="Arial" w:cs="Arial"/>
          <w:color w:val="000000" w:themeColor="text1"/>
          <w:lang w:eastAsia="hr-HR"/>
        </w:rPr>
        <w:t>stanovništva, pravnih osoba i javnoj infrastrukturi uzrokovane prirodnom nepogodom i/ili katastrofom takve da prijete ugrozom zdravlja i života stanovništva na područjima zahvaćenim prirodnom nepogodom.</w:t>
      </w:r>
    </w:p>
    <w:p w:rsidR="00F60BD6" w:rsidRPr="00465FD1"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w:t>
      </w:r>
    </w:p>
    <w:p w:rsidR="00465FD1" w:rsidRPr="00F60BD6" w:rsidRDefault="00465FD1" w:rsidP="00F60BD6">
      <w:pPr>
        <w:shd w:val="clear" w:color="auto" w:fill="FFFFFF"/>
        <w:spacing w:after="75" w:line="240" w:lineRule="auto"/>
        <w:jc w:val="both"/>
        <w:rPr>
          <w:rFonts w:ascii="Arial" w:eastAsia="Times New Roman" w:hAnsi="Arial" w:cs="Arial"/>
          <w:color w:val="000000" w:themeColor="text1"/>
          <w:lang w:eastAsia="hr-HR"/>
        </w:rPr>
      </w:pP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b/>
          <w:bCs/>
          <w:color w:val="000000" w:themeColor="text1"/>
          <w:lang w:eastAsia="hr-HR"/>
        </w:rPr>
        <w:t>3. MJERE ZAŠTITE ZA VRIJEME TRAJANJA EKSTREMNIH PRIRODNIH NEPOGODA</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Određenim izvanrednim događajima uzrokovanim ekstremnim vremenskim nepogodama može se, po pitanju posljedica, upravljati planiranjem i provođenjem odgovarajućih preventivnih mjera, organizacijskih modula i pravovremenih priprema, uključujući informiranje pojedinaca i lokalnih zajednica. Ovisno o specifičnostima svakog pojedinog događaja, relativno se uspješno i s ulaganjima prihvatljivim ekonomskoj moći i interesima lokalnih zajednica, unutar posebno razrađenih i implementiranih uvjeta, mogu kontrolirati posljedice događaja ove vrste.</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Sukladno Zakonu o sustavu civilne zaštite, jedinice lokalne samouprave svojim planovima djelovanja civilne zaštite planiraju operativno postupanje u izvanrednim događajima uzrokovanih ekstremnim vremenskim uvjetima, provode pripreme, planiraju sredstva i ostvaruju sve potrebne pretpostavke za učinkovito reagiranje.</w:t>
      </w:r>
    </w:p>
    <w:p w:rsidR="00F60BD6" w:rsidRPr="00465FD1"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w:t>
      </w:r>
    </w:p>
    <w:p w:rsidR="00465FD1" w:rsidRPr="00F60BD6" w:rsidRDefault="00465FD1" w:rsidP="00F60BD6">
      <w:pPr>
        <w:shd w:val="clear" w:color="auto" w:fill="FFFFFF"/>
        <w:spacing w:after="75" w:line="240" w:lineRule="auto"/>
        <w:jc w:val="both"/>
        <w:rPr>
          <w:rFonts w:ascii="Arial" w:eastAsia="Times New Roman" w:hAnsi="Arial" w:cs="Arial"/>
          <w:color w:val="000000" w:themeColor="text1"/>
          <w:lang w:eastAsia="hr-HR"/>
        </w:rPr>
      </w:pP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b/>
          <w:bCs/>
          <w:color w:val="000000" w:themeColor="text1"/>
          <w:lang w:eastAsia="hr-HR"/>
        </w:rPr>
        <w:t>4. POPIS MJERA I NOSITELJA MJERA U SLUČAJU NASTAJANJA PRIRODNE NEPOGODE</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b/>
          <w:bCs/>
          <w:color w:val="000000" w:themeColor="text1"/>
          <w:lang w:eastAsia="hr-HR"/>
        </w:rPr>
        <w:t> </w:t>
      </w:r>
    </w:p>
    <w:p w:rsidR="00F60BD6" w:rsidRPr="00445AEC" w:rsidRDefault="00F60BD6" w:rsidP="00F60BD6">
      <w:pPr>
        <w:shd w:val="clear" w:color="auto" w:fill="FFFFFF"/>
        <w:spacing w:after="75" w:line="240" w:lineRule="auto"/>
        <w:jc w:val="both"/>
        <w:rPr>
          <w:rFonts w:ascii="Arial" w:eastAsia="Times New Roman" w:hAnsi="Arial" w:cs="Arial"/>
          <w:color w:val="000000" w:themeColor="text1"/>
          <w:u w:val="single"/>
          <w:lang w:eastAsia="hr-HR"/>
        </w:rPr>
      </w:pPr>
      <w:r w:rsidRPr="00445AEC">
        <w:rPr>
          <w:rFonts w:ascii="Arial" w:eastAsia="Times New Roman" w:hAnsi="Arial" w:cs="Arial"/>
          <w:b/>
          <w:bCs/>
          <w:color w:val="000000" w:themeColor="text1"/>
          <w:u w:val="single"/>
          <w:lang w:eastAsia="hr-HR"/>
        </w:rPr>
        <w:t>4.1. Mjere u slučaju nastajanja prirodne nepogode</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b/>
          <w:bCs/>
          <w:color w:val="000000" w:themeColor="text1"/>
          <w:lang w:eastAsia="hr-HR"/>
        </w:rPr>
        <w:t> </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Opće mjere za ublažavanje i uklanjanje izravnih posljedica prirodnih nepogoda jesu:</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procjena štete i posljedica,</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sanacija područja zahvaćenog nepogodom,</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prikupljanje i raspodjela pomoći stradalom i ugroženom stanovništvu,</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provedba zdravstvenih i higijensko-epidemioloških mjera,</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provedba veterinarskih mjera,</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organizacija prometa i komunalnih usluga, radi žurne normalizacije života.</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Ove mjere provode se organizirano na državnoj, područnoj (regionalnoj) i lokalnoj razini sukladno pravima i obvezama sudionika. U cilju pravovremenog i učinkovitoga ublažavanja i uklanjanja izravnih posljedica, procjena štete od ekstremnih prirodnih nepogoda u pravilu se obavlja odmah ili u najkraćem roku.</w:t>
      </w:r>
    </w:p>
    <w:p w:rsidR="00F60BD6" w:rsidRPr="00465FD1" w:rsidRDefault="00F60BD6" w:rsidP="00F60BD6">
      <w:pPr>
        <w:shd w:val="clear" w:color="auto" w:fill="FFFFFF"/>
        <w:spacing w:after="75" w:line="240" w:lineRule="auto"/>
        <w:jc w:val="both"/>
        <w:rPr>
          <w:rFonts w:ascii="Arial" w:eastAsia="Times New Roman" w:hAnsi="Arial" w:cs="Arial"/>
          <w:b/>
          <w:bCs/>
          <w:color w:val="000000" w:themeColor="text1"/>
          <w:lang w:eastAsia="hr-HR"/>
        </w:rPr>
      </w:pPr>
      <w:r w:rsidRPr="00F60BD6">
        <w:rPr>
          <w:rFonts w:ascii="Arial" w:eastAsia="Times New Roman" w:hAnsi="Arial" w:cs="Arial"/>
          <w:b/>
          <w:bCs/>
          <w:color w:val="000000" w:themeColor="text1"/>
          <w:lang w:eastAsia="hr-HR"/>
        </w:rPr>
        <w:t> </w:t>
      </w:r>
    </w:p>
    <w:p w:rsidR="00F60BD6" w:rsidRPr="00445AEC" w:rsidRDefault="00F60BD6" w:rsidP="00F60BD6">
      <w:pPr>
        <w:shd w:val="clear" w:color="auto" w:fill="FFFFFF"/>
        <w:spacing w:after="75" w:line="240" w:lineRule="auto"/>
        <w:jc w:val="both"/>
        <w:rPr>
          <w:rFonts w:ascii="Arial" w:eastAsia="Times New Roman" w:hAnsi="Arial" w:cs="Arial"/>
          <w:color w:val="000000" w:themeColor="text1"/>
          <w:u w:val="single"/>
          <w:lang w:eastAsia="hr-HR"/>
        </w:rPr>
      </w:pPr>
      <w:r w:rsidRPr="00445AEC">
        <w:rPr>
          <w:rFonts w:ascii="Arial" w:eastAsia="Times New Roman" w:hAnsi="Arial" w:cs="Arial"/>
          <w:b/>
          <w:bCs/>
          <w:color w:val="000000" w:themeColor="text1"/>
          <w:u w:val="single"/>
          <w:lang w:eastAsia="hr-HR"/>
        </w:rPr>
        <w:lastRenderedPageBreak/>
        <w:t>4.2. Provedba mjera ublažavanja i uklanjanja izravnih posljedica prirodnih nepogoda</w:t>
      </w:r>
    </w:p>
    <w:p w:rsidR="00465FD1"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b/>
          <w:bCs/>
          <w:color w:val="000000" w:themeColor="text1"/>
          <w:lang w:eastAsia="hr-HR"/>
        </w:rPr>
        <w:t> </w:t>
      </w:r>
    </w:p>
    <w:p w:rsidR="00F60BD6" w:rsidRPr="00445AEC" w:rsidRDefault="00F60BD6" w:rsidP="00F60BD6">
      <w:pPr>
        <w:shd w:val="clear" w:color="auto" w:fill="FFFFFF"/>
        <w:spacing w:after="75" w:line="240" w:lineRule="auto"/>
        <w:jc w:val="both"/>
        <w:rPr>
          <w:rFonts w:ascii="Arial" w:eastAsia="Times New Roman" w:hAnsi="Arial" w:cs="Arial"/>
          <w:i/>
          <w:color w:val="000000" w:themeColor="text1"/>
          <w:lang w:eastAsia="hr-HR"/>
        </w:rPr>
      </w:pPr>
      <w:r w:rsidRPr="00445AEC">
        <w:rPr>
          <w:rFonts w:ascii="Arial" w:eastAsia="Times New Roman" w:hAnsi="Arial" w:cs="Arial"/>
          <w:b/>
          <w:bCs/>
          <w:i/>
          <w:color w:val="000000" w:themeColor="text1"/>
          <w:lang w:eastAsia="hr-HR"/>
        </w:rPr>
        <w:t>4.2.1. Mjere u nadležnosti Gradonačelnika i Gradskog povjerenstva</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b/>
          <w:bCs/>
          <w:i/>
          <w:iCs/>
          <w:color w:val="000000" w:themeColor="text1"/>
          <w:lang w:eastAsia="hr-HR"/>
        </w:rPr>
        <w:t> </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i/>
          <w:iCs/>
          <w:color w:val="000000" w:themeColor="text1"/>
          <w:u w:val="single"/>
          <w:lang w:eastAsia="hr-HR"/>
        </w:rPr>
        <w:t>Donošenje Odluke o proglašenju prirodne nepogode</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xml:space="preserve">Odluku o proglašenju prirodne nepogode za područje grada </w:t>
      </w:r>
      <w:r w:rsidR="003A1F1E" w:rsidRPr="00465FD1">
        <w:rPr>
          <w:rFonts w:ascii="Arial" w:eastAsia="Times New Roman" w:hAnsi="Arial" w:cs="Arial"/>
          <w:color w:val="000000" w:themeColor="text1"/>
          <w:lang w:eastAsia="hr-HR"/>
        </w:rPr>
        <w:t>Rovinja-Rovigno</w:t>
      </w:r>
      <w:r w:rsidRPr="00F60BD6">
        <w:rPr>
          <w:rFonts w:ascii="Arial" w:eastAsia="Times New Roman" w:hAnsi="Arial" w:cs="Arial"/>
          <w:color w:val="000000" w:themeColor="text1"/>
          <w:lang w:eastAsia="hr-HR"/>
        </w:rPr>
        <w:t xml:space="preserve"> donosi Župan </w:t>
      </w:r>
      <w:r w:rsidR="003A1F1E" w:rsidRPr="00465FD1">
        <w:rPr>
          <w:rFonts w:ascii="Arial" w:eastAsia="Times New Roman" w:hAnsi="Arial" w:cs="Arial"/>
          <w:color w:val="000000" w:themeColor="text1"/>
          <w:lang w:eastAsia="hr-HR"/>
        </w:rPr>
        <w:t>Istarske</w:t>
      </w:r>
      <w:r w:rsidRPr="00F60BD6">
        <w:rPr>
          <w:rFonts w:ascii="Arial" w:eastAsia="Times New Roman" w:hAnsi="Arial" w:cs="Arial"/>
          <w:color w:val="000000" w:themeColor="text1"/>
          <w:lang w:eastAsia="hr-HR"/>
        </w:rPr>
        <w:t xml:space="preserve"> županije na prijedlog Gradonačelnika.</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xml:space="preserve">Prirodna nepogoda proglašava se ako je vrijednost ukupne izravne štete najmanje 20% vrijednosti izvornih prihoda Grada </w:t>
      </w:r>
      <w:r w:rsidR="003A1F1E" w:rsidRPr="00465FD1">
        <w:rPr>
          <w:rFonts w:ascii="Arial" w:eastAsia="Times New Roman" w:hAnsi="Arial" w:cs="Arial"/>
          <w:color w:val="000000" w:themeColor="text1"/>
          <w:lang w:eastAsia="hr-HR"/>
        </w:rPr>
        <w:t>Rovinja-Rovigno</w:t>
      </w:r>
      <w:r w:rsidRPr="00F60BD6">
        <w:rPr>
          <w:rFonts w:ascii="Arial" w:eastAsia="Times New Roman" w:hAnsi="Arial" w:cs="Arial"/>
          <w:color w:val="000000" w:themeColor="text1"/>
          <w:lang w:eastAsia="hr-HR"/>
        </w:rPr>
        <w:t xml:space="preserve"> za prethodnu godinu ili ako je prirod (rod) umanjen najmanje 30% prethodnog trogodišnjeg prosjeka na području grada </w:t>
      </w:r>
      <w:r w:rsidR="003A1F1E" w:rsidRPr="00465FD1">
        <w:rPr>
          <w:rFonts w:ascii="Arial" w:eastAsia="Times New Roman" w:hAnsi="Arial" w:cs="Arial"/>
          <w:color w:val="000000" w:themeColor="text1"/>
          <w:lang w:eastAsia="hr-HR"/>
        </w:rPr>
        <w:t>Rovinja-Rovigno</w:t>
      </w:r>
      <w:r w:rsidRPr="00F60BD6">
        <w:rPr>
          <w:rFonts w:ascii="Arial" w:eastAsia="Times New Roman" w:hAnsi="Arial" w:cs="Arial"/>
          <w:color w:val="000000" w:themeColor="text1"/>
          <w:lang w:eastAsia="hr-HR"/>
        </w:rPr>
        <w:t xml:space="preserve"> ili ako je nepogoda umanjila vrijednost imovine na području grada </w:t>
      </w:r>
      <w:r w:rsidR="003A1F1E" w:rsidRPr="00465FD1">
        <w:rPr>
          <w:rFonts w:ascii="Arial" w:eastAsia="Times New Roman" w:hAnsi="Arial" w:cs="Arial"/>
          <w:color w:val="000000" w:themeColor="text1"/>
          <w:lang w:eastAsia="hr-HR"/>
        </w:rPr>
        <w:t>Rovinja-Rovigno</w:t>
      </w:r>
      <w:r w:rsidRPr="00F60BD6">
        <w:rPr>
          <w:rFonts w:ascii="Arial" w:eastAsia="Times New Roman" w:hAnsi="Arial" w:cs="Arial"/>
          <w:color w:val="000000" w:themeColor="text1"/>
          <w:lang w:eastAsia="hr-HR"/>
        </w:rPr>
        <w:t xml:space="preserve"> najmanje 30%.</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i/>
          <w:iCs/>
          <w:color w:val="000000" w:themeColor="text1"/>
          <w:lang w:eastAsia="hr-HR"/>
        </w:rPr>
        <w:t> </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i/>
          <w:iCs/>
          <w:color w:val="000000" w:themeColor="text1"/>
          <w:u w:val="single"/>
          <w:lang w:eastAsia="hr-HR"/>
        </w:rPr>
        <w:t xml:space="preserve">Prikupljanje prijava o šteti na području grada </w:t>
      </w:r>
      <w:r w:rsidR="003A1F1E" w:rsidRPr="00465FD1">
        <w:rPr>
          <w:rFonts w:ascii="Arial" w:eastAsia="Times New Roman" w:hAnsi="Arial" w:cs="Arial"/>
          <w:i/>
          <w:iCs/>
          <w:color w:val="000000" w:themeColor="text1"/>
          <w:u w:val="single"/>
          <w:lang w:eastAsia="hr-HR"/>
        </w:rPr>
        <w:t>Rovinja-Rovigno</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xml:space="preserve">Nakon proglašenja prirodne nepogode za područje grada </w:t>
      </w:r>
      <w:r w:rsidR="003A1F1E" w:rsidRPr="00465FD1">
        <w:rPr>
          <w:rFonts w:ascii="Arial" w:eastAsia="Times New Roman" w:hAnsi="Arial" w:cs="Arial"/>
          <w:color w:val="000000" w:themeColor="text1"/>
          <w:lang w:eastAsia="hr-HR"/>
        </w:rPr>
        <w:t>Rovinja-Rovigno</w:t>
      </w:r>
      <w:r w:rsidRPr="00F60BD6">
        <w:rPr>
          <w:rFonts w:ascii="Arial" w:eastAsia="Times New Roman" w:hAnsi="Arial" w:cs="Arial"/>
          <w:color w:val="000000" w:themeColor="text1"/>
          <w:lang w:eastAsia="hr-HR"/>
        </w:rPr>
        <w:t xml:space="preserve"> Gradsko povjerenstvo putem javnog poziva obavještava </w:t>
      </w:r>
      <w:proofErr w:type="spellStart"/>
      <w:r w:rsidRPr="00F60BD6">
        <w:rPr>
          <w:rFonts w:ascii="Arial" w:eastAsia="Times New Roman" w:hAnsi="Arial" w:cs="Arial"/>
          <w:color w:val="000000" w:themeColor="text1"/>
          <w:lang w:eastAsia="hr-HR"/>
        </w:rPr>
        <w:t>oštećenike</w:t>
      </w:r>
      <w:proofErr w:type="spellEnd"/>
      <w:r w:rsidRPr="00F60BD6">
        <w:rPr>
          <w:rFonts w:ascii="Arial" w:eastAsia="Times New Roman" w:hAnsi="Arial" w:cs="Arial"/>
          <w:color w:val="000000" w:themeColor="text1"/>
          <w:lang w:eastAsia="hr-HR"/>
        </w:rPr>
        <w:t>, fizičke ili pravne osobe na čijoj je imovini utvrđena šteta za prijavu štete.</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Prijava štete obavlja se na propisanom obrascu.</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xml:space="preserve">Javni se poziv objavljuje na oglasnoj ploči i internetskim stranicama Grada </w:t>
      </w:r>
      <w:r w:rsidRPr="00465FD1">
        <w:rPr>
          <w:rFonts w:ascii="Arial" w:eastAsia="Times New Roman" w:hAnsi="Arial" w:cs="Arial"/>
          <w:color w:val="000000" w:themeColor="text1"/>
          <w:lang w:eastAsia="hr-HR"/>
        </w:rPr>
        <w:t>Rovinj-Rovigno</w:t>
      </w:r>
      <w:r w:rsidRPr="00F60BD6">
        <w:rPr>
          <w:rFonts w:ascii="Arial" w:eastAsia="Times New Roman" w:hAnsi="Arial" w:cs="Arial"/>
          <w:color w:val="000000" w:themeColor="text1"/>
          <w:lang w:eastAsia="hr-HR"/>
        </w:rPr>
        <w:t>, a sadrži najmanje podatke o:</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datumu donošenja Odluke o proglašenju prirodne nepogode,</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rokovima i načinu dostave obrazaca prijave štete od prirodne nepogode.</w:t>
      </w:r>
      <w:r w:rsidRPr="00F60BD6">
        <w:rPr>
          <w:rFonts w:ascii="Arial" w:eastAsia="Times New Roman" w:hAnsi="Arial" w:cs="Arial"/>
          <w:i/>
          <w:iCs/>
          <w:color w:val="000000" w:themeColor="text1"/>
          <w:lang w:eastAsia="hr-HR"/>
        </w:rPr>
        <w:t> </w:t>
      </w:r>
      <w:r w:rsidRPr="00F60BD6">
        <w:rPr>
          <w:rFonts w:ascii="Arial" w:eastAsia="Times New Roman" w:hAnsi="Arial" w:cs="Arial"/>
          <w:color w:val="000000" w:themeColor="text1"/>
          <w:lang w:eastAsia="hr-HR"/>
        </w:rPr>
        <w:t> </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Rok za prijavu štete na imovini je 8 (osam) dana od dana donošenja odluke o proglašenju prirodne nepogode. Iznimno, u slučaju postojanja objektivnih razloga, rok za prijavu štete iznosi 12 (dvanaest) dana.</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i/>
          <w:iCs/>
          <w:color w:val="000000" w:themeColor="text1"/>
          <w:lang w:eastAsia="hr-HR"/>
        </w:rPr>
        <w:t> </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i/>
          <w:iCs/>
          <w:color w:val="000000" w:themeColor="text1"/>
          <w:u w:val="single"/>
          <w:lang w:eastAsia="hr-HR"/>
        </w:rPr>
        <w:t xml:space="preserve">Obrada podataka o šteti na području grada </w:t>
      </w:r>
      <w:r w:rsidR="003A1F1E" w:rsidRPr="00465FD1">
        <w:rPr>
          <w:rFonts w:ascii="Arial" w:eastAsia="Times New Roman" w:hAnsi="Arial" w:cs="Arial"/>
          <w:i/>
          <w:iCs/>
          <w:color w:val="000000" w:themeColor="text1"/>
          <w:u w:val="single"/>
          <w:lang w:eastAsia="hr-HR"/>
        </w:rPr>
        <w:t>Rovinja-Rovigno</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xml:space="preserve">Po isteku roka za prijavu šteta, Gradsko povjerenstvo utvrđuje i provjerava visinu štete za područje grada </w:t>
      </w:r>
      <w:r w:rsidR="003A1F1E" w:rsidRPr="00465FD1">
        <w:rPr>
          <w:rFonts w:ascii="Arial" w:eastAsia="Times New Roman" w:hAnsi="Arial" w:cs="Arial"/>
          <w:color w:val="000000" w:themeColor="text1"/>
          <w:lang w:eastAsia="hr-HR"/>
        </w:rPr>
        <w:t>Rovinja-Rovigno</w:t>
      </w:r>
      <w:r w:rsidRPr="00F60BD6">
        <w:rPr>
          <w:rFonts w:ascii="Arial" w:eastAsia="Times New Roman" w:hAnsi="Arial" w:cs="Arial"/>
          <w:color w:val="000000" w:themeColor="text1"/>
          <w:lang w:eastAsia="hr-HR"/>
        </w:rPr>
        <w:t xml:space="preserve"> temeljem dostavljenih obrazaca od strane </w:t>
      </w:r>
      <w:proofErr w:type="spellStart"/>
      <w:r w:rsidRPr="00F60BD6">
        <w:rPr>
          <w:rFonts w:ascii="Arial" w:eastAsia="Times New Roman" w:hAnsi="Arial" w:cs="Arial"/>
          <w:color w:val="000000" w:themeColor="text1"/>
          <w:lang w:eastAsia="hr-HR"/>
        </w:rPr>
        <w:t>oštećenika</w:t>
      </w:r>
      <w:proofErr w:type="spellEnd"/>
      <w:r w:rsidRPr="00F60BD6">
        <w:rPr>
          <w:rFonts w:ascii="Arial" w:eastAsia="Times New Roman" w:hAnsi="Arial" w:cs="Arial"/>
          <w:color w:val="000000" w:themeColor="text1"/>
          <w:lang w:eastAsia="hr-HR"/>
        </w:rPr>
        <w:t>.</w:t>
      </w:r>
    </w:p>
    <w:p w:rsidR="00F60BD6" w:rsidRPr="00465FD1" w:rsidRDefault="00F60BD6" w:rsidP="00F60BD6">
      <w:pPr>
        <w:shd w:val="clear" w:color="auto" w:fill="FFFFFF"/>
        <w:spacing w:after="75" w:line="240" w:lineRule="auto"/>
        <w:jc w:val="both"/>
        <w:rPr>
          <w:rFonts w:ascii="Arial" w:eastAsia="Times New Roman" w:hAnsi="Arial" w:cs="Arial"/>
          <w:i/>
          <w:iCs/>
          <w:color w:val="000000" w:themeColor="text1"/>
          <w:lang w:eastAsia="hr-HR"/>
        </w:rPr>
      </w:pPr>
      <w:r w:rsidRPr="00F60BD6">
        <w:rPr>
          <w:rFonts w:ascii="Arial" w:eastAsia="Times New Roman" w:hAnsi="Arial" w:cs="Arial"/>
          <w:i/>
          <w:iCs/>
          <w:color w:val="000000" w:themeColor="text1"/>
          <w:lang w:eastAsia="hr-HR"/>
        </w:rPr>
        <w:t> </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i/>
          <w:iCs/>
          <w:color w:val="000000" w:themeColor="text1"/>
          <w:u w:val="single"/>
          <w:lang w:eastAsia="hr-HR"/>
        </w:rPr>
        <w:t>Prva prijava štete u Registar šteta</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Gradsko povjerenstvo dužno je sve zaprimljene prve procjene štete unijeti u Registar šteta, najkasnije u roku od 15 (petnaest) dana od dana donošenja Odluke o proglašenju prirodne nepogode.</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xml:space="preserve">Iznimno, rok za unos podataka u Registar šteta od strane Povjerenstva može se, u slučaju postojanja objektivnih razloga na koje </w:t>
      </w:r>
      <w:proofErr w:type="spellStart"/>
      <w:r w:rsidRPr="00F60BD6">
        <w:rPr>
          <w:rFonts w:ascii="Arial" w:eastAsia="Times New Roman" w:hAnsi="Arial" w:cs="Arial"/>
          <w:color w:val="000000" w:themeColor="text1"/>
          <w:lang w:eastAsia="hr-HR"/>
        </w:rPr>
        <w:t>oštećenik</w:t>
      </w:r>
      <w:proofErr w:type="spellEnd"/>
      <w:r w:rsidRPr="00F60BD6">
        <w:rPr>
          <w:rFonts w:ascii="Arial" w:eastAsia="Times New Roman" w:hAnsi="Arial" w:cs="Arial"/>
          <w:color w:val="000000" w:themeColor="text1"/>
          <w:lang w:eastAsia="hr-HR"/>
        </w:rPr>
        <w:t xml:space="preserve"> nije mogao utjecati, produljiti za 8 (osam) dana.</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Prijava prve procjene štete sadržava:</w:t>
      </w:r>
    </w:p>
    <w:p w:rsidR="00F60BD6" w:rsidRPr="00F60BD6" w:rsidRDefault="00F60BD6" w:rsidP="00465FD1">
      <w:pPr>
        <w:numPr>
          <w:ilvl w:val="0"/>
          <w:numId w:val="1"/>
        </w:numPr>
        <w:shd w:val="clear" w:color="auto" w:fill="FFFFFF"/>
        <w:spacing w:after="75" w:line="240" w:lineRule="auto"/>
        <w:ind w:left="448" w:right="74" w:hanging="357"/>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datum donošenja Odluke o proglašenju prirodne nepogode i njezin broj,</w:t>
      </w:r>
    </w:p>
    <w:p w:rsidR="00F60BD6" w:rsidRPr="00F60BD6" w:rsidRDefault="00F60BD6" w:rsidP="00465FD1">
      <w:pPr>
        <w:numPr>
          <w:ilvl w:val="0"/>
          <w:numId w:val="1"/>
        </w:numPr>
        <w:shd w:val="clear" w:color="auto" w:fill="FFFFFF"/>
        <w:spacing w:after="75" w:line="240" w:lineRule="auto"/>
        <w:ind w:left="448" w:right="74" w:hanging="357"/>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podatke o vrsti prirodne nepogode,</w:t>
      </w:r>
    </w:p>
    <w:p w:rsidR="00F60BD6" w:rsidRPr="00F60BD6" w:rsidRDefault="00F60BD6" w:rsidP="00465FD1">
      <w:pPr>
        <w:numPr>
          <w:ilvl w:val="0"/>
          <w:numId w:val="1"/>
        </w:numPr>
        <w:shd w:val="clear" w:color="auto" w:fill="FFFFFF"/>
        <w:spacing w:after="75" w:line="240" w:lineRule="auto"/>
        <w:ind w:left="448" w:right="74" w:hanging="357"/>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podatke o trajanju prirodne nepogode,</w:t>
      </w:r>
    </w:p>
    <w:p w:rsidR="00F60BD6" w:rsidRPr="00F60BD6" w:rsidRDefault="00F60BD6" w:rsidP="00465FD1">
      <w:pPr>
        <w:numPr>
          <w:ilvl w:val="0"/>
          <w:numId w:val="1"/>
        </w:numPr>
        <w:shd w:val="clear" w:color="auto" w:fill="FFFFFF"/>
        <w:spacing w:after="75" w:line="240" w:lineRule="auto"/>
        <w:ind w:left="448" w:right="74" w:hanging="357"/>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podatke o području zahvaćenom prirodnom nepogodom,</w:t>
      </w:r>
    </w:p>
    <w:p w:rsidR="00F60BD6" w:rsidRPr="00F60BD6" w:rsidRDefault="00F60BD6" w:rsidP="00465FD1">
      <w:pPr>
        <w:numPr>
          <w:ilvl w:val="0"/>
          <w:numId w:val="1"/>
        </w:numPr>
        <w:shd w:val="clear" w:color="auto" w:fill="FFFFFF"/>
        <w:spacing w:after="75" w:line="240" w:lineRule="auto"/>
        <w:ind w:left="448" w:right="74" w:hanging="357"/>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podatke o vrsti, opisu te vrijednosti oštećene imovine,</w:t>
      </w:r>
    </w:p>
    <w:p w:rsidR="00F60BD6" w:rsidRPr="00F60BD6" w:rsidRDefault="00F60BD6" w:rsidP="00465FD1">
      <w:pPr>
        <w:numPr>
          <w:ilvl w:val="0"/>
          <w:numId w:val="1"/>
        </w:numPr>
        <w:shd w:val="clear" w:color="auto" w:fill="FFFFFF"/>
        <w:spacing w:after="75" w:line="240" w:lineRule="auto"/>
        <w:ind w:left="448" w:right="74" w:hanging="357"/>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podatke o ukupnom iznosu prijavljene štete iz članaka 25. i 26. Zakona,</w:t>
      </w:r>
    </w:p>
    <w:p w:rsidR="00F60BD6" w:rsidRDefault="00F60BD6" w:rsidP="00465FD1">
      <w:pPr>
        <w:numPr>
          <w:ilvl w:val="0"/>
          <w:numId w:val="1"/>
        </w:numPr>
        <w:shd w:val="clear" w:color="auto" w:fill="FFFFFF"/>
        <w:spacing w:after="75" w:line="240" w:lineRule="auto"/>
        <w:ind w:left="448" w:right="74" w:hanging="357"/>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podatke i informacije o potrebi žurnog djelovanja i dodjeli pomoći za sanaciju i djelomično uklanjanje posljedica prirodne nepogode.</w:t>
      </w:r>
    </w:p>
    <w:p w:rsidR="00445AEC" w:rsidRPr="00F60BD6" w:rsidRDefault="00445AEC" w:rsidP="00445AEC">
      <w:pPr>
        <w:shd w:val="clear" w:color="auto" w:fill="FFFFFF"/>
        <w:spacing w:after="75" w:line="240" w:lineRule="auto"/>
        <w:ind w:left="448" w:right="74"/>
        <w:jc w:val="both"/>
        <w:rPr>
          <w:rFonts w:ascii="Arial" w:eastAsia="Times New Roman" w:hAnsi="Arial" w:cs="Arial"/>
          <w:color w:val="000000" w:themeColor="text1"/>
          <w:lang w:eastAsia="hr-HR"/>
        </w:rPr>
      </w:pPr>
    </w:p>
    <w:p w:rsidR="00F60BD6" w:rsidRDefault="00F60BD6" w:rsidP="00F60BD6">
      <w:pPr>
        <w:shd w:val="clear" w:color="auto" w:fill="FFFFFF"/>
        <w:spacing w:after="75" w:line="240" w:lineRule="auto"/>
        <w:jc w:val="both"/>
        <w:rPr>
          <w:rFonts w:ascii="Arial" w:eastAsia="Times New Roman" w:hAnsi="Arial" w:cs="Arial"/>
          <w:b/>
          <w:bCs/>
          <w:color w:val="000000" w:themeColor="text1"/>
          <w:lang w:eastAsia="hr-HR"/>
        </w:rPr>
      </w:pPr>
      <w:r w:rsidRPr="00F60BD6">
        <w:rPr>
          <w:rFonts w:ascii="Arial" w:eastAsia="Times New Roman" w:hAnsi="Arial" w:cs="Arial"/>
          <w:color w:val="000000" w:themeColor="text1"/>
          <w:lang w:eastAsia="hr-HR"/>
        </w:rPr>
        <w:t> </w:t>
      </w:r>
      <w:r w:rsidRPr="00F60BD6">
        <w:rPr>
          <w:rFonts w:ascii="Arial" w:eastAsia="Times New Roman" w:hAnsi="Arial" w:cs="Arial"/>
          <w:b/>
          <w:bCs/>
          <w:color w:val="000000" w:themeColor="text1"/>
          <w:lang w:eastAsia="hr-HR"/>
        </w:rPr>
        <w:t>Tablica 1.:      Mjere i rokovi po proglašenju prirodne nepogode na području grada</w:t>
      </w:r>
      <w:r w:rsidRPr="00F60BD6">
        <w:rPr>
          <w:rFonts w:ascii="Arial" w:eastAsia="Times New Roman" w:hAnsi="Arial" w:cs="Arial"/>
          <w:b/>
          <w:bCs/>
          <w:color w:val="000000" w:themeColor="text1"/>
          <w:lang w:eastAsia="hr-HR"/>
        </w:rPr>
        <w:br/>
        <w:t>                          </w:t>
      </w:r>
      <w:r w:rsidR="003A1F1E" w:rsidRPr="00465FD1">
        <w:rPr>
          <w:rFonts w:ascii="Arial" w:eastAsia="Times New Roman" w:hAnsi="Arial" w:cs="Arial"/>
          <w:b/>
          <w:bCs/>
          <w:color w:val="000000" w:themeColor="text1"/>
          <w:lang w:eastAsia="hr-HR"/>
        </w:rPr>
        <w:t>Rovinja-Rovigno</w:t>
      </w:r>
      <w:r w:rsidRPr="00F60BD6">
        <w:rPr>
          <w:rFonts w:ascii="Arial" w:eastAsia="Times New Roman" w:hAnsi="Arial" w:cs="Arial"/>
          <w:b/>
          <w:bCs/>
          <w:color w:val="000000" w:themeColor="text1"/>
          <w:lang w:eastAsia="hr-HR"/>
        </w:rPr>
        <w:t xml:space="preserve"> – nositelja Gradonačelnika i Gradskog povjerenstva</w:t>
      </w:r>
    </w:p>
    <w:p w:rsidR="00445AEC" w:rsidRPr="00F60BD6" w:rsidRDefault="00445AEC" w:rsidP="00F60BD6">
      <w:pPr>
        <w:shd w:val="clear" w:color="auto" w:fill="FFFFFF"/>
        <w:spacing w:after="75" w:line="240" w:lineRule="auto"/>
        <w:jc w:val="both"/>
        <w:rPr>
          <w:rFonts w:ascii="Arial" w:eastAsia="Times New Roman" w:hAnsi="Arial" w:cs="Arial"/>
          <w:color w:val="000000" w:themeColor="text1"/>
          <w:lang w:eastAsia="hr-HR"/>
        </w:rPr>
      </w:pPr>
    </w:p>
    <w:tbl>
      <w:tblPr>
        <w:tblW w:w="9356" w:type="dxa"/>
        <w:tblCellSpacing w:w="0"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4076"/>
        <w:gridCol w:w="3020"/>
        <w:gridCol w:w="2260"/>
      </w:tblGrid>
      <w:tr w:rsidR="00465FD1" w:rsidRPr="00F60BD6" w:rsidTr="00F60BD6">
        <w:trPr>
          <w:tblCellSpacing w:w="0" w:type="dxa"/>
        </w:trPr>
        <w:tc>
          <w:tcPr>
            <w:tcW w:w="4076" w:type="dxa"/>
            <w:tcBorders>
              <w:top w:val="nil"/>
              <w:left w:val="nil"/>
              <w:bottom w:val="nil"/>
              <w:right w:val="nil"/>
            </w:tcBorders>
            <w:shd w:val="clear" w:color="auto" w:fill="FFFFFF"/>
            <w:tcMar>
              <w:top w:w="135" w:type="dxa"/>
              <w:left w:w="150" w:type="dxa"/>
              <w:bottom w:w="135" w:type="dxa"/>
              <w:right w:w="150" w:type="dxa"/>
            </w:tcMar>
            <w:hideMark/>
          </w:tcPr>
          <w:p w:rsidR="00F60BD6" w:rsidRPr="00F60BD6" w:rsidRDefault="00F60BD6" w:rsidP="00F60BD6">
            <w:pPr>
              <w:spacing w:after="75" w:line="240" w:lineRule="auto"/>
              <w:jc w:val="center"/>
              <w:rPr>
                <w:rFonts w:ascii="Arial" w:eastAsia="Times New Roman" w:hAnsi="Arial" w:cs="Arial"/>
                <w:color w:val="000000" w:themeColor="text1"/>
                <w:lang w:eastAsia="hr-HR"/>
              </w:rPr>
            </w:pPr>
            <w:r w:rsidRPr="00F60BD6">
              <w:rPr>
                <w:rFonts w:ascii="Arial" w:eastAsia="Times New Roman" w:hAnsi="Arial" w:cs="Arial"/>
                <w:b/>
                <w:bCs/>
                <w:color w:val="000000" w:themeColor="text1"/>
                <w:lang w:eastAsia="hr-HR"/>
              </w:rPr>
              <w:t>MJERA</w:t>
            </w:r>
          </w:p>
        </w:tc>
        <w:tc>
          <w:tcPr>
            <w:tcW w:w="3020" w:type="dxa"/>
            <w:tcBorders>
              <w:top w:val="nil"/>
              <w:left w:val="nil"/>
              <w:bottom w:val="nil"/>
              <w:right w:val="nil"/>
            </w:tcBorders>
            <w:shd w:val="clear" w:color="auto" w:fill="FFFFFF"/>
            <w:tcMar>
              <w:top w:w="135" w:type="dxa"/>
              <w:left w:w="150" w:type="dxa"/>
              <w:bottom w:w="135" w:type="dxa"/>
              <w:right w:w="150" w:type="dxa"/>
            </w:tcMar>
            <w:hideMark/>
          </w:tcPr>
          <w:p w:rsidR="00F60BD6" w:rsidRPr="00F60BD6" w:rsidRDefault="00F60BD6" w:rsidP="00F60BD6">
            <w:pPr>
              <w:spacing w:after="75" w:line="240" w:lineRule="auto"/>
              <w:jc w:val="center"/>
              <w:rPr>
                <w:rFonts w:ascii="Arial" w:eastAsia="Times New Roman" w:hAnsi="Arial" w:cs="Arial"/>
                <w:color w:val="000000" w:themeColor="text1"/>
                <w:lang w:eastAsia="hr-HR"/>
              </w:rPr>
            </w:pPr>
            <w:r w:rsidRPr="00F60BD6">
              <w:rPr>
                <w:rFonts w:ascii="Arial" w:eastAsia="Times New Roman" w:hAnsi="Arial" w:cs="Arial"/>
                <w:b/>
                <w:bCs/>
                <w:color w:val="000000" w:themeColor="text1"/>
                <w:lang w:eastAsia="hr-HR"/>
              </w:rPr>
              <w:t>ROK</w:t>
            </w:r>
          </w:p>
        </w:tc>
        <w:tc>
          <w:tcPr>
            <w:tcW w:w="2260" w:type="dxa"/>
            <w:tcBorders>
              <w:top w:val="nil"/>
              <w:left w:val="nil"/>
              <w:bottom w:val="nil"/>
              <w:right w:val="nil"/>
            </w:tcBorders>
            <w:shd w:val="clear" w:color="auto" w:fill="FFFFFF"/>
            <w:tcMar>
              <w:top w:w="135" w:type="dxa"/>
              <w:left w:w="150" w:type="dxa"/>
              <w:bottom w:w="135" w:type="dxa"/>
              <w:right w:w="150" w:type="dxa"/>
            </w:tcMar>
            <w:hideMark/>
          </w:tcPr>
          <w:p w:rsidR="00F60BD6" w:rsidRPr="00F60BD6" w:rsidRDefault="00F60BD6" w:rsidP="00F60BD6">
            <w:pPr>
              <w:spacing w:after="75" w:line="240" w:lineRule="auto"/>
              <w:jc w:val="center"/>
              <w:rPr>
                <w:rFonts w:ascii="Arial" w:eastAsia="Times New Roman" w:hAnsi="Arial" w:cs="Arial"/>
                <w:color w:val="000000" w:themeColor="text1"/>
                <w:lang w:eastAsia="hr-HR"/>
              </w:rPr>
            </w:pPr>
            <w:r w:rsidRPr="00F60BD6">
              <w:rPr>
                <w:rFonts w:ascii="Arial" w:eastAsia="Times New Roman" w:hAnsi="Arial" w:cs="Arial"/>
                <w:b/>
                <w:bCs/>
                <w:color w:val="000000" w:themeColor="text1"/>
                <w:lang w:eastAsia="hr-HR"/>
              </w:rPr>
              <w:t>NOSITELJ</w:t>
            </w:r>
          </w:p>
        </w:tc>
      </w:tr>
      <w:tr w:rsidR="00465FD1" w:rsidRPr="00F60BD6" w:rsidTr="00F60BD6">
        <w:trPr>
          <w:tblCellSpacing w:w="0" w:type="dxa"/>
        </w:trPr>
        <w:tc>
          <w:tcPr>
            <w:tcW w:w="4076" w:type="dxa"/>
            <w:tcBorders>
              <w:top w:val="nil"/>
              <w:left w:val="nil"/>
              <w:bottom w:val="nil"/>
              <w:right w:val="nil"/>
            </w:tcBorders>
            <w:shd w:val="clear" w:color="auto" w:fill="F9F9F9"/>
            <w:tcMar>
              <w:top w:w="135" w:type="dxa"/>
              <w:left w:w="150" w:type="dxa"/>
              <w:bottom w:w="135" w:type="dxa"/>
              <w:right w:w="150" w:type="dxa"/>
            </w:tcMar>
            <w:hideMark/>
          </w:tcPr>
          <w:p w:rsidR="00F60BD6" w:rsidRPr="00F60BD6" w:rsidRDefault="00F60BD6" w:rsidP="00F60BD6">
            <w:pPr>
              <w:spacing w:after="75" w:line="240" w:lineRule="auto"/>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xml:space="preserve">DOSTAVA PRIJEDLOGA O PROGLAŠENJU PRIRODNE NEPOGODE NA PODRUČJU GRADA </w:t>
            </w:r>
            <w:r w:rsidR="003A1F1E" w:rsidRPr="00465FD1">
              <w:rPr>
                <w:rFonts w:ascii="Arial" w:eastAsia="Times New Roman" w:hAnsi="Arial" w:cs="Arial"/>
                <w:color w:val="000000" w:themeColor="text1"/>
                <w:lang w:eastAsia="hr-HR"/>
              </w:rPr>
              <w:t>ROVINJA-ROVIGNO</w:t>
            </w:r>
          </w:p>
        </w:tc>
        <w:tc>
          <w:tcPr>
            <w:tcW w:w="3020" w:type="dxa"/>
            <w:tcBorders>
              <w:top w:val="nil"/>
              <w:left w:val="nil"/>
              <w:bottom w:val="nil"/>
              <w:right w:val="nil"/>
            </w:tcBorders>
            <w:shd w:val="clear" w:color="auto" w:fill="F9F9F9"/>
            <w:tcMar>
              <w:top w:w="135" w:type="dxa"/>
              <w:left w:w="150" w:type="dxa"/>
              <w:bottom w:w="135" w:type="dxa"/>
              <w:right w:w="150" w:type="dxa"/>
            </w:tcMar>
            <w:hideMark/>
          </w:tcPr>
          <w:p w:rsidR="00F60BD6" w:rsidRPr="00F60BD6" w:rsidRDefault="00F60BD6" w:rsidP="00F60BD6">
            <w:pPr>
              <w:spacing w:after="75" w:line="240" w:lineRule="auto"/>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8 (osam) dana od nastanka nepogode</w:t>
            </w:r>
          </w:p>
          <w:p w:rsidR="00F60BD6" w:rsidRPr="00F60BD6" w:rsidRDefault="00F60BD6" w:rsidP="00F60BD6">
            <w:pPr>
              <w:spacing w:after="75" w:line="240" w:lineRule="auto"/>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w:t>
            </w:r>
          </w:p>
        </w:tc>
        <w:tc>
          <w:tcPr>
            <w:tcW w:w="2260" w:type="dxa"/>
            <w:tcBorders>
              <w:top w:val="nil"/>
              <w:left w:val="nil"/>
              <w:bottom w:val="nil"/>
              <w:right w:val="nil"/>
            </w:tcBorders>
            <w:shd w:val="clear" w:color="auto" w:fill="F9F9F9"/>
            <w:tcMar>
              <w:top w:w="135" w:type="dxa"/>
              <w:left w:w="150" w:type="dxa"/>
              <w:bottom w:w="135" w:type="dxa"/>
              <w:right w:w="150" w:type="dxa"/>
            </w:tcMar>
            <w:hideMark/>
          </w:tcPr>
          <w:p w:rsidR="00F60BD6" w:rsidRPr="00F60BD6" w:rsidRDefault="00F60BD6" w:rsidP="00F60BD6">
            <w:pPr>
              <w:spacing w:after="75" w:line="240" w:lineRule="auto"/>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Gradonačelnik</w:t>
            </w:r>
          </w:p>
          <w:p w:rsidR="00F60BD6" w:rsidRPr="00F60BD6" w:rsidRDefault="00F60BD6" w:rsidP="00F60BD6">
            <w:pPr>
              <w:spacing w:after="75" w:line="240" w:lineRule="auto"/>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w:t>
            </w:r>
          </w:p>
        </w:tc>
      </w:tr>
      <w:tr w:rsidR="00465FD1" w:rsidRPr="00F60BD6" w:rsidTr="00F60BD6">
        <w:trPr>
          <w:tblCellSpacing w:w="0" w:type="dxa"/>
        </w:trPr>
        <w:tc>
          <w:tcPr>
            <w:tcW w:w="4076" w:type="dxa"/>
            <w:tcBorders>
              <w:top w:val="nil"/>
              <w:left w:val="nil"/>
              <w:bottom w:val="nil"/>
              <w:right w:val="nil"/>
            </w:tcBorders>
            <w:shd w:val="clear" w:color="auto" w:fill="FFFFFF"/>
            <w:tcMar>
              <w:top w:w="135" w:type="dxa"/>
              <w:left w:w="150" w:type="dxa"/>
              <w:bottom w:w="135" w:type="dxa"/>
              <w:right w:w="150" w:type="dxa"/>
            </w:tcMar>
            <w:hideMark/>
          </w:tcPr>
          <w:p w:rsidR="00F60BD6" w:rsidRPr="00F60BD6" w:rsidRDefault="00F60BD6" w:rsidP="00F60BD6">
            <w:pPr>
              <w:spacing w:after="75" w:line="240" w:lineRule="auto"/>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xml:space="preserve">OBJAVA JAVNOG POZIVA ZA DOSTAVOM OBRAZACA PRIJAVE ŠTETE OD PRIRODNE NEPOGODE NA PODRUČJU GRADA </w:t>
            </w:r>
            <w:r w:rsidR="003A1F1E" w:rsidRPr="00465FD1">
              <w:rPr>
                <w:rFonts w:ascii="Arial" w:eastAsia="Times New Roman" w:hAnsi="Arial" w:cs="Arial"/>
                <w:color w:val="000000" w:themeColor="text1"/>
                <w:lang w:eastAsia="hr-HR"/>
              </w:rPr>
              <w:t>ROVINJA-ROVIGNO</w:t>
            </w:r>
          </w:p>
        </w:tc>
        <w:tc>
          <w:tcPr>
            <w:tcW w:w="3020" w:type="dxa"/>
            <w:tcBorders>
              <w:top w:val="nil"/>
              <w:left w:val="nil"/>
              <w:bottom w:val="nil"/>
              <w:right w:val="nil"/>
            </w:tcBorders>
            <w:shd w:val="clear" w:color="auto" w:fill="FFFFFF"/>
            <w:tcMar>
              <w:top w:w="135" w:type="dxa"/>
              <w:left w:w="150" w:type="dxa"/>
              <w:bottom w:w="135" w:type="dxa"/>
              <w:right w:w="150" w:type="dxa"/>
            </w:tcMar>
            <w:hideMark/>
          </w:tcPr>
          <w:p w:rsidR="00F60BD6" w:rsidRPr="00F60BD6" w:rsidRDefault="00F60BD6" w:rsidP="00F60BD6">
            <w:pPr>
              <w:spacing w:after="75" w:line="240" w:lineRule="auto"/>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po objavi Odluke o proglašenju prirodne nepogode</w:t>
            </w:r>
          </w:p>
        </w:tc>
        <w:tc>
          <w:tcPr>
            <w:tcW w:w="2260" w:type="dxa"/>
            <w:tcBorders>
              <w:top w:val="nil"/>
              <w:left w:val="nil"/>
              <w:bottom w:val="nil"/>
              <w:right w:val="nil"/>
            </w:tcBorders>
            <w:shd w:val="clear" w:color="auto" w:fill="FFFFFF"/>
            <w:tcMar>
              <w:top w:w="135" w:type="dxa"/>
              <w:left w:w="150" w:type="dxa"/>
              <w:bottom w:w="135" w:type="dxa"/>
              <w:right w:w="150" w:type="dxa"/>
            </w:tcMar>
            <w:hideMark/>
          </w:tcPr>
          <w:p w:rsidR="00F60BD6" w:rsidRPr="00F60BD6" w:rsidRDefault="00F60BD6" w:rsidP="00F60BD6">
            <w:pPr>
              <w:spacing w:after="75" w:line="240" w:lineRule="auto"/>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Gradsko povjerenstvo</w:t>
            </w:r>
          </w:p>
        </w:tc>
      </w:tr>
      <w:tr w:rsidR="00465FD1" w:rsidRPr="00F60BD6" w:rsidTr="00F60BD6">
        <w:trPr>
          <w:tblCellSpacing w:w="0" w:type="dxa"/>
        </w:trPr>
        <w:tc>
          <w:tcPr>
            <w:tcW w:w="4076" w:type="dxa"/>
            <w:tcBorders>
              <w:top w:val="nil"/>
              <w:left w:val="nil"/>
              <w:bottom w:val="nil"/>
              <w:right w:val="nil"/>
            </w:tcBorders>
            <w:shd w:val="clear" w:color="auto" w:fill="F9F9F9"/>
            <w:tcMar>
              <w:top w:w="135" w:type="dxa"/>
              <w:left w:w="150" w:type="dxa"/>
              <w:bottom w:w="135" w:type="dxa"/>
              <w:right w:w="150" w:type="dxa"/>
            </w:tcMar>
            <w:hideMark/>
          </w:tcPr>
          <w:p w:rsidR="00F60BD6" w:rsidRPr="00F60BD6" w:rsidRDefault="00F60BD6" w:rsidP="00F60BD6">
            <w:pPr>
              <w:spacing w:after="75" w:line="240" w:lineRule="auto"/>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xml:space="preserve">PRIKUPLJANJE PODATAKA O ŠTETI NA PODRUČJU GRADA </w:t>
            </w:r>
            <w:r w:rsidR="003A1F1E" w:rsidRPr="00465FD1">
              <w:rPr>
                <w:rFonts w:ascii="Arial" w:eastAsia="Times New Roman" w:hAnsi="Arial" w:cs="Arial"/>
                <w:color w:val="000000" w:themeColor="text1"/>
                <w:lang w:eastAsia="hr-HR"/>
              </w:rPr>
              <w:t>ROVINJA-ROVIGNO</w:t>
            </w:r>
            <w:r w:rsidRPr="00F60BD6">
              <w:rPr>
                <w:rFonts w:ascii="Arial" w:eastAsia="Times New Roman" w:hAnsi="Arial" w:cs="Arial"/>
                <w:color w:val="000000" w:themeColor="text1"/>
                <w:lang w:eastAsia="hr-HR"/>
              </w:rPr>
              <w:t xml:space="preserve"> TEMELJEM OBRAZACA PRIJAVE ŠTETE OD PRIRODNE NEPOGODE</w:t>
            </w:r>
          </w:p>
        </w:tc>
        <w:tc>
          <w:tcPr>
            <w:tcW w:w="3020" w:type="dxa"/>
            <w:tcBorders>
              <w:top w:val="nil"/>
              <w:left w:val="nil"/>
              <w:bottom w:val="nil"/>
              <w:right w:val="nil"/>
            </w:tcBorders>
            <w:shd w:val="clear" w:color="auto" w:fill="F9F9F9"/>
            <w:tcMar>
              <w:top w:w="135" w:type="dxa"/>
              <w:left w:w="150" w:type="dxa"/>
              <w:bottom w:w="135" w:type="dxa"/>
              <w:right w:w="150" w:type="dxa"/>
            </w:tcMar>
            <w:hideMark/>
          </w:tcPr>
          <w:p w:rsidR="00F60BD6" w:rsidRPr="00F60BD6" w:rsidRDefault="00F60BD6" w:rsidP="00F60BD6">
            <w:pPr>
              <w:spacing w:after="75" w:line="240" w:lineRule="auto"/>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8 (osam) dana od dana proglašenja Odluke o proglašenju prirodne nepogode</w:t>
            </w:r>
          </w:p>
        </w:tc>
        <w:tc>
          <w:tcPr>
            <w:tcW w:w="2260" w:type="dxa"/>
            <w:tcBorders>
              <w:top w:val="nil"/>
              <w:left w:val="nil"/>
              <w:bottom w:val="nil"/>
              <w:right w:val="nil"/>
            </w:tcBorders>
            <w:shd w:val="clear" w:color="auto" w:fill="F9F9F9"/>
            <w:tcMar>
              <w:top w:w="135" w:type="dxa"/>
              <w:left w:w="150" w:type="dxa"/>
              <w:bottom w:w="135" w:type="dxa"/>
              <w:right w:w="150" w:type="dxa"/>
            </w:tcMar>
            <w:hideMark/>
          </w:tcPr>
          <w:p w:rsidR="00F60BD6" w:rsidRPr="00F60BD6" w:rsidRDefault="00F60BD6" w:rsidP="00F60BD6">
            <w:pPr>
              <w:spacing w:after="75" w:line="240" w:lineRule="auto"/>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Gradsko povjerenstvo</w:t>
            </w:r>
          </w:p>
        </w:tc>
      </w:tr>
      <w:tr w:rsidR="00465FD1" w:rsidRPr="00F60BD6" w:rsidTr="00F60BD6">
        <w:trPr>
          <w:tblCellSpacing w:w="0" w:type="dxa"/>
        </w:trPr>
        <w:tc>
          <w:tcPr>
            <w:tcW w:w="4076" w:type="dxa"/>
            <w:tcBorders>
              <w:top w:val="nil"/>
              <w:left w:val="nil"/>
              <w:bottom w:val="nil"/>
              <w:right w:val="nil"/>
            </w:tcBorders>
            <w:shd w:val="clear" w:color="auto" w:fill="FFFFFF"/>
            <w:tcMar>
              <w:top w:w="135" w:type="dxa"/>
              <w:left w:w="150" w:type="dxa"/>
              <w:bottom w:w="135" w:type="dxa"/>
              <w:right w:w="150" w:type="dxa"/>
            </w:tcMar>
            <w:hideMark/>
          </w:tcPr>
          <w:p w:rsidR="00F60BD6" w:rsidRPr="00F60BD6" w:rsidRDefault="00F60BD6" w:rsidP="00F60BD6">
            <w:pPr>
              <w:spacing w:after="75" w:line="240" w:lineRule="auto"/>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PREMA POTREBI, DOSTAVA ZAHTJEVA ZA PRODULJENJEM ROKA ZA PRVU PRIJAVU ŠTETE U REGISTAR ŠTETA POVJERENSTVU ZA PROCJENU ŠTETA OD PRIRODNIH NEPOGODA PRIMORSKO-GORANSKE ŽUPANIJE</w:t>
            </w:r>
          </w:p>
        </w:tc>
        <w:tc>
          <w:tcPr>
            <w:tcW w:w="3020" w:type="dxa"/>
            <w:tcBorders>
              <w:top w:val="nil"/>
              <w:left w:val="nil"/>
              <w:bottom w:val="nil"/>
              <w:right w:val="nil"/>
            </w:tcBorders>
            <w:shd w:val="clear" w:color="auto" w:fill="FFFFFF"/>
            <w:tcMar>
              <w:top w:w="135" w:type="dxa"/>
              <w:left w:w="150" w:type="dxa"/>
              <w:bottom w:w="135" w:type="dxa"/>
              <w:right w:w="150" w:type="dxa"/>
            </w:tcMar>
            <w:hideMark/>
          </w:tcPr>
          <w:p w:rsidR="00F60BD6" w:rsidRPr="00F60BD6" w:rsidRDefault="00F60BD6" w:rsidP="00F60BD6">
            <w:pPr>
              <w:spacing w:after="75" w:line="240" w:lineRule="auto"/>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8 (osam) dana od dana proglašenja Odluke o proglašenju prirodne nepogode</w:t>
            </w:r>
          </w:p>
        </w:tc>
        <w:tc>
          <w:tcPr>
            <w:tcW w:w="2260" w:type="dxa"/>
            <w:tcBorders>
              <w:top w:val="nil"/>
              <w:left w:val="nil"/>
              <w:bottom w:val="nil"/>
              <w:right w:val="nil"/>
            </w:tcBorders>
            <w:shd w:val="clear" w:color="auto" w:fill="FFFFFF"/>
            <w:tcMar>
              <w:top w:w="135" w:type="dxa"/>
              <w:left w:w="150" w:type="dxa"/>
              <w:bottom w:w="135" w:type="dxa"/>
              <w:right w:w="150" w:type="dxa"/>
            </w:tcMar>
            <w:hideMark/>
          </w:tcPr>
          <w:p w:rsidR="00F60BD6" w:rsidRPr="00F60BD6" w:rsidRDefault="00F60BD6" w:rsidP="00F60BD6">
            <w:pPr>
              <w:spacing w:after="75" w:line="240" w:lineRule="auto"/>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Gradsko povjerenstvo</w:t>
            </w:r>
          </w:p>
        </w:tc>
      </w:tr>
      <w:tr w:rsidR="00465FD1" w:rsidRPr="00F60BD6" w:rsidTr="00F60BD6">
        <w:trPr>
          <w:tblCellSpacing w:w="0" w:type="dxa"/>
        </w:trPr>
        <w:tc>
          <w:tcPr>
            <w:tcW w:w="4076" w:type="dxa"/>
            <w:tcBorders>
              <w:top w:val="nil"/>
              <w:left w:val="nil"/>
              <w:bottom w:val="nil"/>
              <w:right w:val="nil"/>
            </w:tcBorders>
            <w:shd w:val="clear" w:color="auto" w:fill="F9F9F9"/>
            <w:tcMar>
              <w:top w:w="135" w:type="dxa"/>
              <w:left w:w="150" w:type="dxa"/>
              <w:bottom w:w="135" w:type="dxa"/>
              <w:right w:w="150" w:type="dxa"/>
            </w:tcMar>
            <w:hideMark/>
          </w:tcPr>
          <w:p w:rsidR="00F60BD6" w:rsidRPr="00F60BD6" w:rsidRDefault="00F60BD6" w:rsidP="00F60BD6">
            <w:pPr>
              <w:spacing w:after="75" w:line="240" w:lineRule="auto"/>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PRVA PRIJAVA U REGISTAR ŠTETA</w:t>
            </w:r>
          </w:p>
        </w:tc>
        <w:tc>
          <w:tcPr>
            <w:tcW w:w="3020" w:type="dxa"/>
            <w:tcBorders>
              <w:top w:val="nil"/>
              <w:left w:val="nil"/>
              <w:bottom w:val="nil"/>
              <w:right w:val="nil"/>
            </w:tcBorders>
            <w:shd w:val="clear" w:color="auto" w:fill="F9F9F9"/>
            <w:tcMar>
              <w:top w:w="135" w:type="dxa"/>
              <w:left w:w="150" w:type="dxa"/>
              <w:bottom w:w="135" w:type="dxa"/>
              <w:right w:w="150" w:type="dxa"/>
            </w:tcMar>
            <w:hideMark/>
          </w:tcPr>
          <w:p w:rsidR="00F60BD6" w:rsidRPr="00F60BD6" w:rsidRDefault="00F60BD6" w:rsidP="00F60BD6">
            <w:pPr>
              <w:spacing w:after="75" w:line="240" w:lineRule="auto"/>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15 (petnaest), iznimno 23 (dvadeset i tri) dana od dana proglašenja Odluke o proglašenju prirodne nepogode</w:t>
            </w:r>
          </w:p>
        </w:tc>
        <w:tc>
          <w:tcPr>
            <w:tcW w:w="2260" w:type="dxa"/>
            <w:tcBorders>
              <w:top w:val="nil"/>
              <w:left w:val="nil"/>
              <w:bottom w:val="nil"/>
              <w:right w:val="nil"/>
            </w:tcBorders>
            <w:shd w:val="clear" w:color="auto" w:fill="F9F9F9"/>
            <w:tcMar>
              <w:top w:w="135" w:type="dxa"/>
              <w:left w:w="150" w:type="dxa"/>
              <w:bottom w:w="135" w:type="dxa"/>
              <w:right w:w="150" w:type="dxa"/>
            </w:tcMar>
            <w:hideMark/>
          </w:tcPr>
          <w:p w:rsidR="00F60BD6" w:rsidRPr="00F60BD6" w:rsidRDefault="00F60BD6" w:rsidP="00F60BD6">
            <w:pPr>
              <w:spacing w:after="75" w:line="240" w:lineRule="auto"/>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Gradsko povjerenstvo</w:t>
            </w:r>
          </w:p>
        </w:tc>
      </w:tr>
    </w:tbl>
    <w:p w:rsidR="00F60BD6" w:rsidRPr="00465FD1"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w:t>
      </w:r>
    </w:p>
    <w:p w:rsidR="00445AEC" w:rsidRDefault="00445AEC" w:rsidP="00F60BD6">
      <w:pPr>
        <w:shd w:val="clear" w:color="auto" w:fill="FFFFFF"/>
        <w:spacing w:after="75" w:line="240" w:lineRule="auto"/>
        <w:jc w:val="both"/>
        <w:rPr>
          <w:rFonts w:ascii="Arial" w:eastAsia="Times New Roman" w:hAnsi="Arial" w:cs="Arial"/>
          <w:b/>
          <w:bCs/>
          <w:color w:val="000000" w:themeColor="text1"/>
          <w:lang w:eastAsia="hr-HR"/>
        </w:rPr>
      </w:pPr>
    </w:p>
    <w:p w:rsidR="00F60BD6" w:rsidRPr="00445AEC" w:rsidRDefault="00F60BD6" w:rsidP="00F60BD6">
      <w:pPr>
        <w:shd w:val="clear" w:color="auto" w:fill="FFFFFF"/>
        <w:spacing w:after="75" w:line="240" w:lineRule="auto"/>
        <w:jc w:val="both"/>
        <w:rPr>
          <w:rFonts w:ascii="Arial" w:eastAsia="Times New Roman" w:hAnsi="Arial" w:cs="Arial"/>
          <w:i/>
          <w:color w:val="000000" w:themeColor="text1"/>
          <w:lang w:eastAsia="hr-HR"/>
        </w:rPr>
      </w:pPr>
      <w:r w:rsidRPr="00445AEC">
        <w:rPr>
          <w:rFonts w:ascii="Arial" w:eastAsia="Times New Roman" w:hAnsi="Arial" w:cs="Arial"/>
          <w:b/>
          <w:bCs/>
          <w:i/>
          <w:color w:val="000000" w:themeColor="text1"/>
          <w:lang w:eastAsia="hr-HR"/>
        </w:rPr>
        <w:t>4.2.2. Mjere u suradnji s drugim nadležnim tijelima</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i/>
          <w:iCs/>
          <w:color w:val="000000" w:themeColor="text1"/>
          <w:lang w:eastAsia="hr-HR"/>
        </w:rPr>
        <w:t> </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i/>
          <w:iCs/>
          <w:color w:val="000000" w:themeColor="text1"/>
          <w:u w:val="single"/>
          <w:lang w:eastAsia="hr-HR"/>
        </w:rPr>
        <w:t>Konačna prijava štete u Registar šteta</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xml:space="preserve">Konačna procjena štete predstavlja procijenjenu vrijednost nastale štete uzrokovane prirodnom nepogodom na imovini </w:t>
      </w:r>
      <w:proofErr w:type="spellStart"/>
      <w:r w:rsidRPr="00F60BD6">
        <w:rPr>
          <w:rFonts w:ascii="Arial" w:eastAsia="Times New Roman" w:hAnsi="Arial" w:cs="Arial"/>
          <w:color w:val="000000" w:themeColor="text1"/>
          <w:lang w:eastAsia="hr-HR"/>
        </w:rPr>
        <w:t>oštećenika</w:t>
      </w:r>
      <w:proofErr w:type="spellEnd"/>
      <w:r w:rsidRPr="00F60BD6">
        <w:rPr>
          <w:rFonts w:ascii="Arial" w:eastAsia="Times New Roman" w:hAnsi="Arial" w:cs="Arial"/>
          <w:color w:val="000000" w:themeColor="text1"/>
          <w:lang w:eastAsia="hr-HR"/>
        </w:rPr>
        <w:t xml:space="preserve"> izražene u novčanoj vrijednosti na temelju prijave i procjene štete.</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xml:space="preserve">Konačnu procjenu štete utvrđuje Gradsko povjerenstvo po izvršenom uvidu u nastalu štetu temeljem prijave </w:t>
      </w:r>
      <w:proofErr w:type="spellStart"/>
      <w:r w:rsidRPr="00F60BD6">
        <w:rPr>
          <w:rFonts w:ascii="Arial" w:eastAsia="Times New Roman" w:hAnsi="Arial" w:cs="Arial"/>
          <w:color w:val="000000" w:themeColor="text1"/>
          <w:lang w:eastAsia="hr-HR"/>
        </w:rPr>
        <w:t>oštećenika</w:t>
      </w:r>
      <w:proofErr w:type="spellEnd"/>
      <w:r w:rsidRPr="00F60BD6">
        <w:rPr>
          <w:rFonts w:ascii="Arial" w:eastAsia="Times New Roman" w:hAnsi="Arial" w:cs="Arial"/>
          <w:color w:val="000000" w:themeColor="text1"/>
          <w:lang w:eastAsia="hr-HR"/>
        </w:rPr>
        <w:t>.</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lastRenderedPageBreak/>
        <w:t>Tijekom procjene i utvrđivanja konačne procjene štete od prirodnih nepogoda posebno se utvrđuju:</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stradanja stanovništva,</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opseg štete na imovini,</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opseg štete koja je nastala zbog prekida proizvodnje, prekida rada ili poremećaja u neproizvodnim djelatnostima ili umanjenog prinosa u poljoprivredi, šumarstvu ili ribarstvu,</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iznos troškova za ublažavanje i djelomično uklanjanje izravnih posljedica prirodnih nepogoda,</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opseg osiguranja imovine i života kod osiguravatelja</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xml:space="preserve">– vlastite mogućnosti </w:t>
      </w:r>
      <w:proofErr w:type="spellStart"/>
      <w:r w:rsidRPr="00F60BD6">
        <w:rPr>
          <w:rFonts w:ascii="Arial" w:eastAsia="Times New Roman" w:hAnsi="Arial" w:cs="Arial"/>
          <w:color w:val="000000" w:themeColor="text1"/>
          <w:lang w:eastAsia="hr-HR"/>
        </w:rPr>
        <w:t>oštećenika</w:t>
      </w:r>
      <w:proofErr w:type="spellEnd"/>
      <w:r w:rsidRPr="00F60BD6">
        <w:rPr>
          <w:rFonts w:ascii="Arial" w:eastAsia="Times New Roman" w:hAnsi="Arial" w:cs="Arial"/>
          <w:color w:val="000000" w:themeColor="text1"/>
          <w:lang w:eastAsia="hr-HR"/>
        </w:rPr>
        <w:t xml:space="preserve"> glede uklanjanja posljedica štete.</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xml:space="preserve">Konačnu procjenu štete po svakom pojedinom </w:t>
      </w:r>
      <w:proofErr w:type="spellStart"/>
      <w:r w:rsidRPr="00F60BD6">
        <w:rPr>
          <w:rFonts w:ascii="Arial" w:eastAsia="Times New Roman" w:hAnsi="Arial" w:cs="Arial"/>
          <w:color w:val="000000" w:themeColor="text1"/>
          <w:lang w:eastAsia="hr-HR"/>
        </w:rPr>
        <w:t>oštećeniku</w:t>
      </w:r>
      <w:proofErr w:type="spellEnd"/>
      <w:r w:rsidRPr="00F60BD6">
        <w:rPr>
          <w:rFonts w:ascii="Arial" w:eastAsia="Times New Roman" w:hAnsi="Arial" w:cs="Arial"/>
          <w:color w:val="000000" w:themeColor="text1"/>
          <w:lang w:eastAsia="hr-HR"/>
        </w:rPr>
        <w:t xml:space="preserve"> Gradsko povjerenstvo prijavljuje Županijskom povjerenstvu za procjenu šteta od prirodnih nepogoda </w:t>
      </w:r>
      <w:r w:rsidR="003A1F1E" w:rsidRPr="00465FD1">
        <w:rPr>
          <w:rFonts w:ascii="Arial" w:eastAsia="Times New Roman" w:hAnsi="Arial" w:cs="Arial"/>
          <w:color w:val="000000" w:themeColor="text1"/>
          <w:lang w:eastAsia="hr-HR"/>
        </w:rPr>
        <w:t>Istarske</w:t>
      </w:r>
      <w:r w:rsidRPr="00F60BD6">
        <w:rPr>
          <w:rFonts w:ascii="Arial" w:eastAsia="Times New Roman" w:hAnsi="Arial" w:cs="Arial"/>
          <w:color w:val="000000" w:themeColor="text1"/>
          <w:lang w:eastAsia="hr-HR"/>
        </w:rPr>
        <w:t xml:space="preserve"> županije (u daljnjem tekstu: Županijsko povjerenstvo) u roku od 50 (pedeset) dana od dana donošenja Odluke o proglašenju prirodne nepogode putem Registra šteta.</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Županijsko povjerenstvo provjerava i utvrđuje konačnu procjenu šteta i podnosi Državnom povjerenstvu za procjenu šteta od prirodnih nepogoda (u daljnjem tekstu: Državno povjerenstvo) prijedlog s obrazloženjem za ublažavanje i djelomično uklanjanje posljedica prirodne nepogode, u roku od 60 (šezdeset) dana od dana donošenja Odluke o proglašenju prirodne nepogode putem Registra šteta.</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Pri konačnoj procjeni štete procjenjuje se vrijednost imovine prema jedinstvenim cijenama, važećim tržišnim cijenama ili drugim pokazateljima primjenjivim za pojedinu vrstu imovine oštećene zbog prirodne nepogode.</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Državno povjerenstvo priznaje samo vrijednosni iznos prijavljene štete koja je potvrđena (verificirana) od strane matičnog ministarstva, odnosno znanstvene ili stručne institucije koju odredi Državno povjerenstvo (npr. u slučaju potresa).</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Državno povjerenstvo može odlučiti o primjeni različitih cijena od već objavljenih od strane Državnog zavoda za statistiku za pojedina dobra, ili pojedina područja ako za to ima opravdanog razloga. Ako neke cijene nisu objavljene primjenjuju se prosječne maloprodajne tržne cijene prethodne godine, ili aktualne, za područja za koje se šteta procjenjuje, uz potvrdu Državnog povjerenstva.</w:t>
      </w:r>
    </w:p>
    <w:p w:rsidR="00B37724" w:rsidRPr="00F60BD6" w:rsidRDefault="00F60BD6" w:rsidP="00F60BD6">
      <w:pPr>
        <w:shd w:val="clear" w:color="auto" w:fill="FFFFFF"/>
        <w:spacing w:after="75" w:line="240" w:lineRule="auto"/>
        <w:jc w:val="both"/>
        <w:rPr>
          <w:rFonts w:ascii="Arial" w:eastAsia="Times New Roman" w:hAnsi="Arial" w:cs="Arial"/>
          <w:b/>
          <w:bCs/>
          <w:i/>
          <w:iCs/>
          <w:color w:val="000000" w:themeColor="text1"/>
          <w:lang w:eastAsia="hr-HR"/>
        </w:rPr>
      </w:pPr>
      <w:r w:rsidRPr="00F60BD6">
        <w:rPr>
          <w:rFonts w:ascii="Arial" w:eastAsia="Times New Roman" w:hAnsi="Arial" w:cs="Arial"/>
          <w:b/>
          <w:bCs/>
          <w:i/>
          <w:iCs/>
          <w:color w:val="000000" w:themeColor="text1"/>
          <w:lang w:eastAsia="hr-HR"/>
        </w:rPr>
        <w:t> </w:t>
      </w:r>
    </w:p>
    <w:p w:rsidR="00F60BD6" w:rsidRPr="00465FD1" w:rsidRDefault="00F60BD6" w:rsidP="00F60BD6">
      <w:pPr>
        <w:shd w:val="clear" w:color="auto" w:fill="FFFFFF"/>
        <w:spacing w:after="75" w:line="240" w:lineRule="auto"/>
        <w:jc w:val="both"/>
        <w:rPr>
          <w:rFonts w:ascii="Arial" w:eastAsia="Times New Roman" w:hAnsi="Arial" w:cs="Arial"/>
          <w:b/>
          <w:bCs/>
          <w:color w:val="000000" w:themeColor="text1"/>
          <w:lang w:eastAsia="hr-HR"/>
        </w:rPr>
      </w:pPr>
      <w:r w:rsidRPr="00F60BD6">
        <w:rPr>
          <w:rFonts w:ascii="Arial" w:eastAsia="Times New Roman" w:hAnsi="Arial" w:cs="Arial"/>
          <w:b/>
          <w:bCs/>
          <w:color w:val="000000" w:themeColor="text1"/>
          <w:lang w:eastAsia="hr-HR"/>
        </w:rPr>
        <w:t>Tablica 2.:  Mjere, rokovi i nositelji mjera po proglašenju prirodne nepogode na</w:t>
      </w:r>
      <w:r w:rsidRPr="00F60BD6">
        <w:rPr>
          <w:rFonts w:ascii="Arial" w:eastAsia="Times New Roman" w:hAnsi="Arial" w:cs="Arial"/>
          <w:b/>
          <w:bCs/>
          <w:color w:val="000000" w:themeColor="text1"/>
          <w:lang w:eastAsia="hr-HR"/>
        </w:rPr>
        <w:br/>
        <w:t xml:space="preserve">                       području grada </w:t>
      </w:r>
      <w:r w:rsidR="003A1F1E" w:rsidRPr="00465FD1">
        <w:rPr>
          <w:rFonts w:ascii="Arial" w:eastAsia="Times New Roman" w:hAnsi="Arial" w:cs="Arial"/>
          <w:b/>
          <w:bCs/>
          <w:color w:val="000000" w:themeColor="text1"/>
          <w:lang w:eastAsia="hr-HR"/>
        </w:rPr>
        <w:t>Rovinja-Rovigno</w:t>
      </w:r>
      <w:r w:rsidRPr="00F60BD6">
        <w:rPr>
          <w:rFonts w:ascii="Arial" w:eastAsia="Times New Roman" w:hAnsi="Arial" w:cs="Arial"/>
          <w:b/>
          <w:bCs/>
          <w:color w:val="000000" w:themeColor="text1"/>
          <w:lang w:eastAsia="hr-HR"/>
        </w:rPr>
        <w:t xml:space="preserve"> – „međusektorske“ mjere</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p>
    <w:tbl>
      <w:tblPr>
        <w:tblW w:w="9356" w:type="dxa"/>
        <w:tblCellSpacing w:w="0"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2572"/>
        <w:gridCol w:w="3390"/>
        <w:gridCol w:w="3394"/>
      </w:tblGrid>
      <w:tr w:rsidR="00465FD1" w:rsidRPr="00F60BD6" w:rsidTr="00465FD1">
        <w:trPr>
          <w:tblCellSpacing w:w="0" w:type="dxa"/>
        </w:trPr>
        <w:tc>
          <w:tcPr>
            <w:tcW w:w="2572" w:type="dxa"/>
            <w:tcBorders>
              <w:top w:val="nil"/>
              <w:left w:val="nil"/>
              <w:bottom w:val="nil"/>
              <w:right w:val="nil"/>
            </w:tcBorders>
            <w:shd w:val="clear" w:color="auto" w:fill="FFFFFF"/>
            <w:tcMar>
              <w:top w:w="135" w:type="dxa"/>
              <w:left w:w="150" w:type="dxa"/>
              <w:bottom w:w="135" w:type="dxa"/>
              <w:right w:w="150" w:type="dxa"/>
            </w:tcMar>
            <w:hideMark/>
          </w:tcPr>
          <w:p w:rsidR="00F60BD6" w:rsidRPr="00F60BD6" w:rsidRDefault="00F60BD6" w:rsidP="00F60BD6">
            <w:pPr>
              <w:spacing w:after="75" w:line="240" w:lineRule="auto"/>
              <w:jc w:val="center"/>
              <w:rPr>
                <w:rFonts w:ascii="Arial" w:eastAsia="Times New Roman" w:hAnsi="Arial" w:cs="Arial"/>
                <w:color w:val="000000" w:themeColor="text1"/>
                <w:lang w:eastAsia="hr-HR"/>
              </w:rPr>
            </w:pPr>
            <w:r w:rsidRPr="00F60BD6">
              <w:rPr>
                <w:rFonts w:ascii="Arial" w:eastAsia="Times New Roman" w:hAnsi="Arial" w:cs="Arial"/>
                <w:b/>
                <w:bCs/>
                <w:color w:val="000000" w:themeColor="text1"/>
                <w:lang w:eastAsia="hr-HR"/>
              </w:rPr>
              <w:t>MJERA</w:t>
            </w:r>
          </w:p>
        </w:tc>
        <w:tc>
          <w:tcPr>
            <w:tcW w:w="3390" w:type="dxa"/>
            <w:tcBorders>
              <w:top w:val="nil"/>
              <w:left w:val="nil"/>
              <w:bottom w:val="nil"/>
              <w:right w:val="nil"/>
            </w:tcBorders>
            <w:shd w:val="clear" w:color="auto" w:fill="FFFFFF"/>
            <w:tcMar>
              <w:top w:w="135" w:type="dxa"/>
              <w:left w:w="150" w:type="dxa"/>
              <w:bottom w:w="135" w:type="dxa"/>
              <w:right w:w="150" w:type="dxa"/>
            </w:tcMar>
            <w:hideMark/>
          </w:tcPr>
          <w:p w:rsidR="00F60BD6" w:rsidRPr="00F60BD6" w:rsidRDefault="00F60BD6" w:rsidP="00F60BD6">
            <w:pPr>
              <w:spacing w:after="75" w:line="240" w:lineRule="auto"/>
              <w:jc w:val="center"/>
              <w:rPr>
                <w:rFonts w:ascii="Arial" w:eastAsia="Times New Roman" w:hAnsi="Arial" w:cs="Arial"/>
                <w:color w:val="000000" w:themeColor="text1"/>
                <w:lang w:eastAsia="hr-HR"/>
              </w:rPr>
            </w:pPr>
            <w:r w:rsidRPr="00F60BD6">
              <w:rPr>
                <w:rFonts w:ascii="Arial" w:eastAsia="Times New Roman" w:hAnsi="Arial" w:cs="Arial"/>
                <w:b/>
                <w:bCs/>
                <w:color w:val="000000" w:themeColor="text1"/>
                <w:lang w:eastAsia="hr-HR"/>
              </w:rPr>
              <w:t>ROK</w:t>
            </w:r>
          </w:p>
        </w:tc>
        <w:tc>
          <w:tcPr>
            <w:tcW w:w="3394" w:type="dxa"/>
            <w:tcBorders>
              <w:top w:val="nil"/>
              <w:left w:val="nil"/>
              <w:bottom w:val="nil"/>
              <w:right w:val="nil"/>
            </w:tcBorders>
            <w:shd w:val="clear" w:color="auto" w:fill="FFFFFF"/>
            <w:tcMar>
              <w:top w:w="135" w:type="dxa"/>
              <w:left w:w="150" w:type="dxa"/>
              <w:bottom w:w="135" w:type="dxa"/>
              <w:right w:w="150" w:type="dxa"/>
            </w:tcMar>
            <w:hideMark/>
          </w:tcPr>
          <w:p w:rsidR="00F60BD6" w:rsidRPr="00F60BD6" w:rsidRDefault="00F60BD6" w:rsidP="00F60BD6">
            <w:pPr>
              <w:spacing w:after="75" w:line="240" w:lineRule="auto"/>
              <w:jc w:val="center"/>
              <w:rPr>
                <w:rFonts w:ascii="Arial" w:eastAsia="Times New Roman" w:hAnsi="Arial" w:cs="Arial"/>
                <w:color w:val="000000" w:themeColor="text1"/>
                <w:lang w:eastAsia="hr-HR"/>
              </w:rPr>
            </w:pPr>
            <w:r w:rsidRPr="00F60BD6">
              <w:rPr>
                <w:rFonts w:ascii="Arial" w:eastAsia="Times New Roman" w:hAnsi="Arial" w:cs="Arial"/>
                <w:b/>
                <w:bCs/>
                <w:color w:val="000000" w:themeColor="text1"/>
                <w:lang w:eastAsia="hr-HR"/>
              </w:rPr>
              <w:t>NOSITELJ</w:t>
            </w:r>
          </w:p>
        </w:tc>
      </w:tr>
      <w:tr w:rsidR="00465FD1" w:rsidRPr="00F60BD6" w:rsidTr="00465FD1">
        <w:trPr>
          <w:tblCellSpacing w:w="0" w:type="dxa"/>
        </w:trPr>
        <w:tc>
          <w:tcPr>
            <w:tcW w:w="2572" w:type="dxa"/>
            <w:tcBorders>
              <w:top w:val="nil"/>
              <w:left w:val="nil"/>
              <w:bottom w:val="nil"/>
              <w:right w:val="nil"/>
            </w:tcBorders>
            <w:shd w:val="clear" w:color="auto" w:fill="F9F9F9"/>
            <w:tcMar>
              <w:top w:w="135" w:type="dxa"/>
              <w:left w:w="150" w:type="dxa"/>
              <w:bottom w:w="135" w:type="dxa"/>
              <w:right w:w="150" w:type="dxa"/>
            </w:tcMar>
            <w:hideMark/>
          </w:tcPr>
          <w:p w:rsidR="00F60BD6" w:rsidRPr="00F60BD6" w:rsidRDefault="00F60BD6" w:rsidP="00F60BD6">
            <w:pPr>
              <w:spacing w:after="75" w:line="240" w:lineRule="auto"/>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PRIJAVA KONAČNE PROCJENE ŠTETE U REGISTAR ŠTETA</w:t>
            </w:r>
          </w:p>
        </w:tc>
        <w:tc>
          <w:tcPr>
            <w:tcW w:w="3390" w:type="dxa"/>
            <w:tcBorders>
              <w:top w:val="nil"/>
              <w:left w:val="nil"/>
              <w:bottom w:val="nil"/>
              <w:right w:val="nil"/>
            </w:tcBorders>
            <w:shd w:val="clear" w:color="auto" w:fill="F9F9F9"/>
            <w:tcMar>
              <w:top w:w="135" w:type="dxa"/>
              <w:left w:w="150" w:type="dxa"/>
              <w:bottom w:w="135" w:type="dxa"/>
              <w:right w:w="150" w:type="dxa"/>
            </w:tcMar>
            <w:hideMark/>
          </w:tcPr>
          <w:p w:rsidR="00F60BD6" w:rsidRPr="00F60BD6" w:rsidRDefault="00F60BD6" w:rsidP="00F60BD6">
            <w:pPr>
              <w:spacing w:after="75" w:line="240" w:lineRule="auto"/>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50 (pedeset) dana od dana donošenja Odluke o proglašenju prirodne nepogode (iznimno, najkasnije 4 (četiri) mjeseca od dana donošenja Odluke o proglašenju prirodne nepogode)</w:t>
            </w:r>
          </w:p>
        </w:tc>
        <w:tc>
          <w:tcPr>
            <w:tcW w:w="3394" w:type="dxa"/>
            <w:tcBorders>
              <w:top w:val="nil"/>
              <w:left w:val="nil"/>
              <w:bottom w:val="nil"/>
              <w:right w:val="nil"/>
            </w:tcBorders>
            <w:shd w:val="clear" w:color="auto" w:fill="F9F9F9"/>
            <w:tcMar>
              <w:top w:w="135" w:type="dxa"/>
              <w:left w:w="150" w:type="dxa"/>
              <w:bottom w:w="135" w:type="dxa"/>
              <w:right w:w="150" w:type="dxa"/>
            </w:tcMar>
            <w:hideMark/>
          </w:tcPr>
          <w:p w:rsidR="00F60BD6" w:rsidRPr="00F60BD6" w:rsidRDefault="00F60BD6" w:rsidP="00F60BD6">
            <w:pPr>
              <w:spacing w:after="75" w:line="240" w:lineRule="auto"/>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Gradsko povjerenstvo</w:t>
            </w:r>
          </w:p>
        </w:tc>
      </w:tr>
      <w:tr w:rsidR="00465FD1" w:rsidRPr="00F60BD6" w:rsidTr="00465FD1">
        <w:trPr>
          <w:tblCellSpacing w:w="0" w:type="dxa"/>
        </w:trPr>
        <w:tc>
          <w:tcPr>
            <w:tcW w:w="2572" w:type="dxa"/>
            <w:tcBorders>
              <w:top w:val="nil"/>
              <w:left w:val="nil"/>
              <w:bottom w:val="nil"/>
              <w:right w:val="nil"/>
            </w:tcBorders>
            <w:shd w:val="clear" w:color="auto" w:fill="FFFFFF"/>
            <w:tcMar>
              <w:top w:w="135" w:type="dxa"/>
              <w:left w:w="150" w:type="dxa"/>
              <w:bottom w:w="135" w:type="dxa"/>
              <w:right w:w="150" w:type="dxa"/>
            </w:tcMar>
            <w:hideMark/>
          </w:tcPr>
          <w:p w:rsidR="00F60BD6" w:rsidRPr="00F60BD6" w:rsidRDefault="00F60BD6" w:rsidP="00F60BD6">
            <w:pPr>
              <w:spacing w:after="75" w:line="240" w:lineRule="auto"/>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DOSTAVA KONAČNE PROCJENE ŠTETE U REGISTAR ŠTETA</w:t>
            </w:r>
          </w:p>
        </w:tc>
        <w:tc>
          <w:tcPr>
            <w:tcW w:w="3390" w:type="dxa"/>
            <w:tcBorders>
              <w:top w:val="nil"/>
              <w:left w:val="nil"/>
              <w:bottom w:val="nil"/>
              <w:right w:val="nil"/>
            </w:tcBorders>
            <w:shd w:val="clear" w:color="auto" w:fill="FFFFFF"/>
            <w:tcMar>
              <w:top w:w="135" w:type="dxa"/>
              <w:left w:w="150" w:type="dxa"/>
              <w:bottom w:w="135" w:type="dxa"/>
              <w:right w:w="150" w:type="dxa"/>
            </w:tcMar>
            <w:hideMark/>
          </w:tcPr>
          <w:p w:rsidR="00F60BD6" w:rsidRPr="00F60BD6" w:rsidRDefault="00F60BD6" w:rsidP="00F60BD6">
            <w:pPr>
              <w:spacing w:after="75" w:line="240" w:lineRule="auto"/>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xml:space="preserve">60 (šezdeset) dana od dana donošenja Odluke o proglašenju prirodne nepogode (iznimno 4 (četiri) mjeseca od </w:t>
            </w:r>
            <w:r w:rsidRPr="00F60BD6">
              <w:rPr>
                <w:rFonts w:ascii="Arial" w:eastAsia="Times New Roman" w:hAnsi="Arial" w:cs="Arial"/>
                <w:color w:val="000000" w:themeColor="text1"/>
                <w:lang w:eastAsia="hr-HR"/>
              </w:rPr>
              <w:lastRenderedPageBreak/>
              <w:t>dana donošenja Odluke o proglašenju prirodne nepogode)</w:t>
            </w:r>
          </w:p>
        </w:tc>
        <w:tc>
          <w:tcPr>
            <w:tcW w:w="3394" w:type="dxa"/>
            <w:tcBorders>
              <w:top w:val="nil"/>
              <w:left w:val="nil"/>
              <w:bottom w:val="nil"/>
              <w:right w:val="nil"/>
            </w:tcBorders>
            <w:shd w:val="clear" w:color="auto" w:fill="FFFFFF"/>
            <w:tcMar>
              <w:top w:w="135" w:type="dxa"/>
              <w:left w:w="150" w:type="dxa"/>
              <w:bottom w:w="135" w:type="dxa"/>
              <w:right w:w="150" w:type="dxa"/>
            </w:tcMar>
            <w:hideMark/>
          </w:tcPr>
          <w:p w:rsidR="00F60BD6" w:rsidRPr="00F60BD6" w:rsidRDefault="00F60BD6" w:rsidP="00F60BD6">
            <w:pPr>
              <w:spacing w:after="75" w:line="240" w:lineRule="auto"/>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lastRenderedPageBreak/>
              <w:t>Županijsko povjerenstvo</w:t>
            </w:r>
          </w:p>
        </w:tc>
      </w:tr>
      <w:tr w:rsidR="00465FD1" w:rsidRPr="00F60BD6" w:rsidTr="00465FD1">
        <w:trPr>
          <w:tblCellSpacing w:w="0" w:type="dxa"/>
        </w:trPr>
        <w:tc>
          <w:tcPr>
            <w:tcW w:w="2572" w:type="dxa"/>
            <w:tcBorders>
              <w:top w:val="nil"/>
              <w:left w:val="nil"/>
              <w:bottom w:val="nil"/>
              <w:right w:val="nil"/>
            </w:tcBorders>
            <w:shd w:val="clear" w:color="auto" w:fill="F9F9F9"/>
            <w:tcMar>
              <w:top w:w="135" w:type="dxa"/>
              <w:left w:w="150" w:type="dxa"/>
              <w:bottom w:w="135" w:type="dxa"/>
              <w:right w:w="150" w:type="dxa"/>
            </w:tcMar>
            <w:hideMark/>
          </w:tcPr>
          <w:p w:rsidR="00F60BD6" w:rsidRPr="00F60BD6" w:rsidRDefault="00F60BD6" w:rsidP="00F60BD6">
            <w:pPr>
              <w:spacing w:after="75" w:line="240" w:lineRule="auto"/>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POTVRDA KONAČNE PROCJENE ŠTETE</w:t>
            </w:r>
          </w:p>
        </w:tc>
        <w:tc>
          <w:tcPr>
            <w:tcW w:w="3390" w:type="dxa"/>
            <w:tcBorders>
              <w:top w:val="nil"/>
              <w:left w:val="nil"/>
              <w:bottom w:val="nil"/>
              <w:right w:val="nil"/>
            </w:tcBorders>
            <w:shd w:val="clear" w:color="auto" w:fill="F9F9F9"/>
            <w:tcMar>
              <w:top w:w="135" w:type="dxa"/>
              <w:left w:w="150" w:type="dxa"/>
              <w:bottom w:w="135" w:type="dxa"/>
              <w:right w:w="150" w:type="dxa"/>
            </w:tcMar>
            <w:hideMark/>
          </w:tcPr>
          <w:p w:rsidR="00F60BD6" w:rsidRPr="00F60BD6" w:rsidRDefault="00F60BD6" w:rsidP="00F60BD6">
            <w:pPr>
              <w:spacing w:after="75" w:line="240" w:lineRule="auto"/>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w:t>
            </w:r>
          </w:p>
        </w:tc>
        <w:tc>
          <w:tcPr>
            <w:tcW w:w="3394" w:type="dxa"/>
            <w:tcBorders>
              <w:top w:val="nil"/>
              <w:left w:val="nil"/>
              <w:bottom w:val="nil"/>
              <w:right w:val="nil"/>
            </w:tcBorders>
            <w:shd w:val="clear" w:color="auto" w:fill="F9F9F9"/>
            <w:tcMar>
              <w:top w:w="135" w:type="dxa"/>
              <w:left w:w="150" w:type="dxa"/>
              <w:bottom w:w="135" w:type="dxa"/>
              <w:right w:w="150" w:type="dxa"/>
            </w:tcMar>
            <w:hideMark/>
          </w:tcPr>
          <w:p w:rsidR="00F60BD6" w:rsidRPr="00F60BD6" w:rsidRDefault="00F60BD6" w:rsidP="00F60BD6">
            <w:pPr>
              <w:spacing w:after="75" w:line="240" w:lineRule="auto"/>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Državno povjerenstvo u suradnji s nadležnim ministarstvima i drugim znanstvenim ili stručnim institucijama</w:t>
            </w:r>
          </w:p>
        </w:tc>
      </w:tr>
    </w:tbl>
    <w:p w:rsid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w:t>
      </w:r>
    </w:p>
    <w:p w:rsidR="00B37724" w:rsidRPr="00F60BD6" w:rsidRDefault="00B37724" w:rsidP="00F60BD6">
      <w:pPr>
        <w:shd w:val="clear" w:color="auto" w:fill="FFFFFF"/>
        <w:spacing w:after="75" w:line="240" w:lineRule="auto"/>
        <w:jc w:val="both"/>
        <w:rPr>
          <w:rFonts w:ascii="Arial" w:eastAsia="Times New Roman" w:hAnsi="Arial" w:cs="Arial"/>
          <w:color w:val="000000" w:themeColor="text1"/>
          <w:lang w:eastAsia="hr-HR"/>
        </w:rPr>
      </w:pPr>
    </w:p>
    <w:p w:rsidR="00F60BD6" w:rsidRPr="00445AEC" w:rsidRDefault="00F60BD6" w:rsidP="00F60BD6">
      <w:pPr>
        <w:shd w:val="clear" w:color="auto" w:fill="FFFFFF"/>
        <w:spacing w:after="75" w:line="240" w:lineRule="auto"/>
        <w:jc w:val="both"/>
        <w:rPr>
          <w:rFonts w:ascii="Arial" w:eastAsia="Times New Roman" w:hAnsi="Arial" w:cs="Arial"/>
          <w:color w:val="000000" w:themeColor="text1"/>
          <w:u w:val="single"/>
          <w:lang w:eastAsia="hr-HR"/>
        </w:rPr>
      </w:pPr>
      <w:r w:rsidRPr="00445AEC">
        <w:rPr>
          <w:rFonts w:ascii="Arial" w:eastAsia="Times New Roman" w:hAnsi="Arial" w:cs="Arial"/>
          <w:b/>
          <w:bCs/>
          <w:color w:val="000000" w:themeColor="text1"/>
          <w:u w:val="single"/>
          <w:lang w:eastAsia="hr-HR"/>
        </w:rPr>
        <w:t>4.3. Raspodjela i dodjela sredstava pomoći za ublažavanje i djelomično uklanjanje</w:t>
      </w:r>
      <w:r w:rsidRPr="00445AEC">
        <w:rPr>
          <w:rFonts w:ascii="Arial" w:eastAsia="Times New Roman" w:hAnsi="Arial" w:cs="Arial"/>
          <w:b/>
          <w:bCs/>
          <w:color w:val="000000" w:themeColor="text1"/>
          <w:u w:val="single"/>
          <w:lang w:eastAsia="hr-HR"/>
        </w:rPr>
        <w:br/>
        <w:t>         posljedica prirodnih nepogoda</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b/>
          <w:bCs/>
          <w:color w:val="000000" w:themeColor="text1"/>
          <w:lang w:eastAsia="hr-HR"/>
        </w:rPr>
        <w:t> </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Ako posljedice štete ne zahtijevaju žurni postupak i odobrenje žurne pomoći, šteta se procjenjuje u redovitom postupku.</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xml:space="preserve">Državno povjerenstvo pristupa provjeri i obradi podataka o konačnim procjenama šteta na temelju podataka iz Registra šteta i ostale dokumentacije te utvrđuje iznos pomoći za pojedinu vrstu štete i </w:t>
      </w:r>
      <w:proofErr w:type="spellStart"/>
      <w:r w:rsidRPr="00F60BD6">
        <w:rPr>
          <w:rFonts w:ascii="Arial" w:eastAsia="Times New Roman" w:hAnsi="Arial" w:cs="Arial"/>
          <w:color w:val="000000" w:themeColor="text1"/>
          <w:lang w:eastAsia="hr-HR"/>
        </w:rPr>
        <w:t>oštećenike</w:t>
      </w:r>
      <w:proofErr w:type="spellEnd"/>
      <w:r w:rsidRPr="00F60BD6">
        <w:rPr>
          <w:rFonts w:ascii="Arial" w:eastAsia="Times New Roman" w:hAnsi="Arial" w:cs="Arial"/>
          <w:color w:val="000000" w:themeColor="text1"/>
          <w:lang w:eastAsia="hr-HR"/>
        </w:rPr>
        <w:t xml:space="preserve"> tako da određuje postotak isplate novčanih sredstava u odnosu na iznos konačne potvrđene štete na imovini </w:t>
      </w:r>
      <w:proofErr w:type="spellStart"/>
      <w:r w:rsidRPr="00F60BD6">
        <w:rPr>
          <w:rFonts w:ascii="Arial" w:eastAsia="Times New Roman" w:hAnsi="Arial" w:cs="Arial"/>
          <w:color w:val="000000" w:themeColor="text1"/>
          <w:lang w:eastAsia="hr-HR"/>
        </w:rPr>
        <w:t>oštećenika</w:t>
      </w:r>
      <w:proofErr w:type="spellEnd"/>
      <w:r w:rsidRPr="00F60BD6">
        <w:rPr>
          <w:rFonts w:ascii="Arial" w:eastAsia="Times New Roman" w:hAnsi="Arial" w:cs="Arial"/>
          <w:color w:val="000000" w:themeColor="text1"/>
          <w:lang w:eastAsia="hr-HR"/>
        </w:rPr>
        <w:t>.</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Vlada Republike Hrvatske, na prijedlog Državnog povjerenstva donosi odluku o dodjeli pomoći za ublažavanje i djelomično uklanjanje posljedica prirodnih nepogoda.</w:t>
      </w:r>
    </w:p>
    <w:p w:rsidR="00465FD1"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w:t>
      </w:r>
    </w:p>
    <w:p w:rsidR="00F60BD6" w:rsidRPr="00445AEC" w:rsidRDefault="00F60BD6" w:rsidP="00F60BD6">
      <w:pPr>
        <w:shd w:val="clear" w:color="auto" w:fill="FFFFFF"/>
        <w:spacing w:after="75" w:line="240" w:lineRule="auto"/>
        <w:jc w:val="both"/>
        <w:rPr>
          <w:rFonts w:ascii="Arial" w:eastAsia="Times New Roman" w:hAnsi="Arial" w:cs="Arial"/>
          <w:color w:val="000000" w:themeColor="text1"/>
          <w:u w:val="single"/>
          <w:lang w:eastAsia="hr-HR"/>
        </w:rPr>
      </w:pPr>
      <w:r w:rsidRPr="00445AEC">
        <w:rPr>
          <w:rFonts w:ascii="Arial" w:eastAsia="Times New Roman" w:hAnsi="Arial" w:cs="Arial"/>
          <w:b/>
          <w:bCs/>
          <w:color w:val="000000" w:themeColor="text1"/>
          <w:u w:val="single"/>
          <w:lang w:eastAsia="hr-HR"/>
        </w:rPr>
        <w:t>4.4. Raspodjela i dodjela sredstava žurne pomoći</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xml:space="preserve">Žurna pomoć dodjeljuje se u svrhu djelomične sanacije štete od prirodnih nepogoda u tekućoj kalendarskoj godini za pokriće troškova sanacije šteta na javnoj infrastrukturi, troškova nabave opreme za saniranje posljedica prirodne nepogode, za pokriće drugih troškova koji su usmjereni saniranju šteta od prirodne nepogode za koje ne postoje dostatni financijski izvori usmjereni na sprečavanje daljnjih šteta koje mogu ugroziti gospodarsko funkcioniranje i štetno djelovati na život i zdravlje stanovništva te onečišćenje prirodnog okoliša i </w:t>
      </w:r>
      <w:proofErr w:type="spellStart"/>
      <w:r w:rsidRPr="00F60BD6">
        <w:rPr>
          <w:rFonts w:ascii="Arial" w:eastAsia="Times New Roman" w:hAnsi="Arial" w:cs="Arial"/>
          <w:color w:val="000000" w:themeColor="text1"/>
          <w:lang w:eastAsia="hr-HR"/>
        </w:rPr>
        <w:t>oštećenicima</w:t>
      </w:r>
      <w:proofErr w:type="spellEnd"/>
      <w:r w:rsidRPr="00F60BD6">
        <w:rPr>
          <w:rFonts w:ascii="Arial" w:eastAsia="Times New Roman" w:hAnsi="Arial" w:cs="Arial"/>
          <w:color w:val="000000" w:themeColor="text1"/>
          <w:lang w:eastAsia="hr-HR"/>
        </w:rPr>
        <w:t xml:space="preserve"> fizičkim osobama koje nisu poduzetnici, a koji su pretrpjeli štete na imovini, posebice ugroženim skupinama, starijima i bolesnima i ostalima kojima prijeti ugroza zdravlja i života na području zahvaćenom prirodnom nepogodom.</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xml:space="preserve">Grad </w:t>
      </w:r>
      <w:r w:rsidRPr="00465FD1">
        <w:rPr>
          <w:rFonts w:ascii="Arial" w:eastAsia="Times New Roman" w:hAnsi="Arial" w:cs="Arial"/>
          <w:color w:val="000000" w:themeColor="text1"/>
          <w:lang w:eastAsia="hr-HR"/>
        </w:rPr>
        <w:t>Rovinj-Rovigno</w:t>
      </w:r>
      <w:r w:rsidRPr="00F60BD6">
        <w:rPr>
          <w:rFonts w:ascii="Arial" w:eastAsia="Times New Roman" w:hAnsi="Arial" w:cs="Arial"/>
          <w:color w:val="000000" w:themeColor="text1"/>
          <w:lang w:eastAsia="hr-HR"/>
        </w:rPr>
        <w:t xml:space="preserve"> može isplatiti žurnu pomoć iz raspoloživih sredstava Proračuna Grada </w:t>
      </w:r>
      <w:r w:rsidR="003A1F1E" w:rsidRPr="00465FD1">
        <w:rPr>
          <w:rFonts w:ascii="Arial" w:eastAsia="Times New Roman" w:hAnsi="Arial" w:cs="Arial"/>
          <w:color w:val="000000" w:themeColor="text1"/>
          <w:lang w:eastAsia="hr-HR"/>
        </w:rPr>
        <w:t>Rovinja-Rovigno</w:t>
      </w:r>
      <w:r w:rsidRPr="00F60BD6">
        <w:rPr>
          <w:rFonts w:ascii="Arial" w:eastAsia="Times New Roman" w:hAnsi="Arial" w:cs="Arial"/>
          <w:color w:val="000000" w:themeColor="text1"/>
          <w:lang w:eastAsia="hr-HR"/>
        </w:rPr>
        <w:t>, sukladno Zakonu.</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xml:space="preserve">Odluku o isplati žurne pomoći donosi Gradsko vijeće Grada </w:t>
      </w:r>
      <w:r w:rsidR="003A1F1E" w:rsidRPr="00465FD1">
        <w:rPr>
          <w:rFonts w:ascii="Arial" w:eastAsia="Times New Roman" w:hAnsi="Arial" w:cs="Arial"/>
          <w:color w:val="000000" w:themeColor="text1"/>
          <w:lang w:eastAsia="hr-HR"/>
        </w:rPr>
        <w:t>Rovinja-Rovigno</w:t>
      </w:r>
      <w:r w:rsidRPr="00F60BD6">
        <w:rPr>
          <w:rFonts w:ascii="Arial" w:eastAsia="Times New Roman" w:hAnsi="Arial" w:cs="Arial"/>
          <w:color w:val="000000" w:themeColor="text1"/>
          <w:lang w:eastAsia="hr-HR"/>
        </w:rPr>
        <w:t xml:space="preserve"> na prijedlog Gradonačelnika. Odlukom se određuje vrijednost novčanih sredstava žurne pomoći, kriteriji, način raspodjele i namjena korištenja žurne pomoći te drugi uvjeti i postupanja u raspodjeli žurne pomoći.</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Žurna pomoć u pravilu se dodjeljuje kao predujam i ne isključuje dodjelu pomoći u postupku redovne dodjele sredstava pomoći za ublažavanje i djelomično uklanjanje posljedica prirodnih nepogoda.</w:t>
      </w:r>
    </w:p>
    <w:p w:rsidR="00B37724"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w:t>
      </w:r>
    </w:p>
    <w:p w:rsidR="00B37724" w:rsidRDefault="00B37724" w:rsidP="00F60BD6">
      <w:pPr>
        <w:shd w:val="clear" w:color="auto" w:fill="FFFFFF"/>
        <w:spacing w:after="75" w:line="240" w:lineRule="auto"/>
        <w:jc w:val="both"/>
        <w:rPr>
          <w:rFonts w:ascii="Arial" w:eastAsia="Times New Roman" w:hAnsi="Arial" w:cs="Arial"/>
          <w:color w:val="000000" w:themeColor="text1"/>
          <w:lang w:eastAsia="hr-HR"/>
        </w:rPr>
      </w:pPr>
    </w:p>
    <w:p w:rsidR="00F60BD6" w:rsidRPr="00445AEC" w:rsidRDefault="00F60BD6" w:rsidP="00F60BD6">
      <w:pPr>
        <w:shd w:val="clear" w:color="auto" w:fill="FFFFFF"/>
        <w:spacing w:after="75" w:line="240" w:lineRule="auto"/>
        <w:jc w:val="both"/>
        <w:rPr>
          <w:rFonts w:ascii="Arial" w:eastAsia="Times New Roman" w:hAnsi="Arial" w:cs="Arial"/>
          <w:color w:val="000000" w:themeColor="text1"/>
          <w:u w:val="single"/>
          <w:lang w:eastAsia="hr-HR"/>
        </w:rPr>
      </w:pPr>
      <w:r w:rsidRPr="00445AEC">
        <w:rPr>
          <w:rFonts w:ascii="Arial" w:eastAsia="Times New Roman" w:hAnsi="Arial" w:cs="Arial"/>
          <w:b/>
          <w:bCs/>
          <w:color w:val="000000" w:themeColor="text1"/>
          <w:u w:val="single"/>
          <w:lang w:eastAsia="hr-HR"/>
        </w:rPr>
        <w:t>4.5. Izvješće o utrošku sredstava za ublažavanje i djelomično uklanjanje posljedica</w:t>
      </w:r>
      <w:r w:rsidRPr="00445AEC">
        <w:rPr>
          <w:rFonts w:ascii="Arial" w:eastAsia="Times New Roman" w:hAnsi="Arial" w:cs="Arial"/>
          <w:b/>
          <w:bCs/>
          <w:color w:val="000000" w:themeColor="text1"/>
          <w:u w:val="single"/>
          <w:lang w:eastAsia="hr-HR"/>
        </w:rPr>
        <w:br/>
        <w:t>         prirodnih nepogoda</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lastRenderedPageBreak/>
        <w:t>Gradsko povjerenstvo putem Registra šteta podnosi Županijskom povjerenstvu izvješće o utrošku sredstava za ublažavanje i djelomično uklanjanje posljedica prirodnih nepogoda dodijeljenih iz Državnog proračuna Republike Hrvatske.</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Izvješće o uklanjanju posljedica prirodne nepogode i utrošku sredstava pomoći Povjerenstvo podnosi u roku od 60 (šezdeset) dana od dana primitka pomoći.</w:t>
      </w:r>
    </w:p>
    <w:p w:rsidR="00F60BD6" w:rsidRPr="00465FD1"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w:t>
      </w:r>
    </w:p>
    <w:p w:rsidR="00465FD1" w:rsidRPr="00F60BD6" w:rsidRDefault="00465FD1" w:rsidP="00F60BD6">
      <w:pPr>
        <w:shd w:val="clear" w:color="auto" w:fill="FFFFFF"/>
        <w:spacing w:after="75" w:line="240" w:lineRule="auto"/>
        <w:jc w:val="both"/>
        <w:rPr>
          <w:rFonts w:ascii="Arial" w:eastAsia="Times New Roman" w:hAnsi="Arial" w:cs="Arial"/>
          <w:color w:val="000000" w:themeColor="text1"/>
          <w:lang w:eastAsia="hr-HR"/>
        </w:rPr>
      </w:pP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b/>
          <w:bCs/>
          <w:color w:val="000000" w:themeColor="text1"/>
          <w:lang w:eastAsia="hr-HR"/>
        </w:rPr>
        <w:t>5. PROCJENA OSIGURANJA OPREME I DRUGIH SREDSTAVA ZA ZAŠTITU I</w:t>
      </w:r>
      <w:r w:rsidRPr="00F60BD6">
        <w:rPr>
          <w:rFonts w:ascii="Arial" w:eastAsia="Times New Roman" w:hAnsi="Arial" w:cs="Arial"/>
          <w:b/>
          <w:bCs/>
          <w:color w:val="000000" w:themeColor="text1"/>
          <w:lang w:eastAsia="hr-HR"/>
        </w:rPr>
        <w:br/>
        <w:t>     SPREČAVANJE STRADANJA IMOVINE, GOSPODARSKIH FUNKCIJA I</w:t>
      </w:r>
      <w:r w:rsidRPr="00F60BD6">
        <w:rPr>
          <w:rFonts w:ascii="Arial" w:eastAsia="Times New Roman" w:hAnsi="Arial" w:cs="Arial"/>
          <w:b/>
          <w:bCs/>
          <w:color w:val="000000" w:themeColor="text1"/>
          <w:lang w:eastAsia="hr-HR"/>
        </w:rPr>
        <w:br/>
        <w:t>     STRADANJA STANOVNIŠTVA</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b/>
          <w:bCs/>
          <w:color w:val="000000" w:themeColor="text1"/>
          <w:lang w:eastAsia="hr-HR"/>
        </w:rPr>
        <w:t> </w:t>
      </w:r>
    </w:p>
    <w:p w:rsidR="00F60BD6" w:rsidRPr="00445AEC" w:rsidRDefault="00F60BD6" w:rsidP="00F60BD6">
      <w:pPr>
        <w:shd w:val="clear" w:color="auto" w:fill="FFFFFF"/>
        <w:spacing w:after="75" w:line="240" w:lineRule="auto"/>
        <w:jc w:val="both"/>
        <w:rPr>
          <w:rFonts w:ascii="Arial" w:eastAsia="Times New Roman" w:hAnsi="Arial" w:cs="Arial"/>
          <w:color w:val="000000" w:themeColor="text1"/>
          <w:u w:val="single"/>
          <w:lang w:eastAsia="hr-HR"/>
        </w:rPr>
      </w:pPr>
      <w:r w:rsidRPr="00445AEC">
        <w:rPr>
          <w:rFonts w:ascii="Arial" w:eastAsia="Times New Roman" w:hAnsi="Arial" w:cs="Arial"/>
          <w:b/>
          <w:bCs/>
          <w:color w:val="000000" w:themeColor="text1"/>
          <w:u w:val="single"/>
          <w:lang w:eastAsia="hr-HR"/>
        </w:rPr>
        <w:t>5.1. Osiguranje opreme za zaštitu i sprječavanje stradanja imovine, gospodarskih</w:t>
      </w:r>
      <w:r w:rsidRPr="00445AEC">
        <w:rPr>
          <w:rFonts w:ascii="Arial" w:eastAsia="Times New Roman" w:hAnsi="Arial" w:cs="Arial"/>
          <w:b/>
          <w:bCs/>
          <w:color w:val="000000" w:themeColor="text1"/>
          <w:u w:val="single"/>
          <w:lang w:eastAsia="hr-HR"/>
        </w:rPr>
        <w:br/>
        <w:t>        funkcija i stradanja stanovništva</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b/>
          <w:bCs/>
          <w:color w:val="000000" w:themeColor="text1"/>
          <w:lang w:eastAsia="hr-HR"/>
        </w:rPr>
        <w:t> </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xml:space="preserve">Grad </w:t>
      </w:r>
      <w:r w:rsidRPr="00465FD1">
        <w:rPr>
          <w:rFonts w:ascii="Arial" w:eastAsia="Times New Roman" w:hAnsi="Arial" w:cs="Arial"/>
          <w:color w:val="000000" w:themeColor="text1"/>
          <w:lang w:eastAsia="hr-HR"/>
        </w:rPr>
        <w:t>Rovinj-Rovigno</w:t>
      </w:r>
      <w:r w:rsidRPr="00F60BD6">
        <w:rPr>
          <w:rFonts w:ascii="Arial" w:eastAsia="Times New Roman" w:hAnsi="Arial" w:cs="Arial"/>
          <w:color w:val="000000" w:themeColor="text1"/>
          <w:lang w:eastAsia="hr-HR"/>
        </w:rPr>
        <w:t xml:space="preserve"> izradio je Procjenu </w:t>
      </w:r>
      <w:r w:rsidR="00376EBD" w:rsidRPr="00465FD1">
        <w:rPr>
          <w:rFonts w:ascii="Arial" w:eastAsia="Times New Roman" w:hAnsi="Arial" w:cs="Arial"/>
          <w:color w:val="000000" w:themeColor="text1"/>
          <w:lang w:eastAsia="hr-HR"/>
        </w:rPr>
        <w:t xml:space="preserve">rizika od </w:t>
      </w:r>
      <w:r w:rsidRPr="00F60BD6">
        <w:rPr>
          <w:rFonts w:ascii="Arial" w:eastAsia="Times New Roman" w:hAnsi="Arial" w:cs="Arial"/>
          <w:color w:val="000000" w:themeColor="text1"/>
          <w:lang w:eastAsia="hr-HR"/>
        </w:rPr>
        <w:t xml:space="preserve">velikih nesreća kojom su utvrđeni rizici na području grada </w:t>
      </w:r>
      <w:r w:rsidR="003A1F1E" w:rsidRPr="00465FD1">
        <w:rPr>
          <w:rFonts w:ascii="Arial" w:eastAsia="Times New Roman" w:hAnsi="Arial" w:cs="Arial"/>
          <w:color w:val="000000" w:themeColor="text1"/>
          <w:lang w:eastAsia="hr-HR"/>
        </w:rPr>
        <w:t>Rovinja-Rovigno</w:t>
      </w:r>
      <w:r w:rsidRPr="00F60BD6">
        <w:rPr>
          <w:rFonts w:ascii="Arial" w:eastAsia="Times New Roman" w:hAnsi="Arial" w:cs="Arial"/>
          <w:color w:val="000000" w:themeColor="text1"/>
          <w:lang w:eastAsia="hr-HR"/>
        </w:rPr>
        <w:t xml:space="preserve"> na temelju kojih će se planirati preventivne mjere, odnosno pripremati eventualni odgovor na prirodnu nepogodu, katastrofu ili veliku nesreću.</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xml:space="preserve">Grad </w:t>
      </w:r>
      <w:r w:rsidRPr="00465FD1">
        <w:rPr>
          <w:rFonts w:ascii="Arial" w:eastAsia="Times New Roman" w:hAnsi="Arial" w:cs="Arial"/>
          <w:color w:val="000000" w:themeColor="text1"/>
          <w:lang w:eastAsia="hr-HR"/>
        </w:rPr>
        <w:t>Rovinj-Rovigno</w:t>
      </w:r>
      <w:r w:rsidRPr="00F60BD6">
        <w:rPr>
          <w:rFonts w:ascii="Arial" w:eastAsia="Times New Roman" w:hAnsi="Arial" w:cs="Arial"/>
          <w:color w:val="000000" w:themeColor="text1"/>
          <w:lang w:eastAsia="hr-HR"/>
        </w:rPr>
        <w:t xml:space="preserve"> kontinuirano unaprjeđuje sustav civilne zaštite na području grada i to kontinuiranim osposob</w:t>
      </w:r>
      <w:r w:rsidR="00376EBD" w:rsidRPr="00465FD1">
        <w:rPr>
          <w:rFonts w:ascii="Arial" w:eastAsia="Times New Roman" w:hAnsi="Arial" w:cs="Arial"/>
          <w:color w:val="000000" w:themeColor="text1"/>
          <w:lang w:eastAsia="hr-HR"/>
        </w:rPr>
        <w:t>ljavanjem snaga civilne zaštite i</w:t>
      </w:r>
      <w:r w:rsidRPr="00F60BD6">
        <w:rPr>
          <w:rFonts w:ascii="Arial" w:eastAsia="Times New Roman" w:hAnsi="Arial" w:cs="Arial"/>
          <w:color w:val="000000" w:themeColor="text1"/>
          <w:lang w:eastAsia="hr-HR"/>
        </w:rPr>
        <w:t xml:space="preserve"> provođenjem vježbi kako bi svi sudionici civilne zaštite bili upoznati o svojim aktivnostima u slučaju mogućih rizika na području grada </w:t>
      </w:r>
      <w:r w:rsidR="003A1F1E" w:rsidRPr="00465FD1">
        <w:rPr>
          <w:rFonts w:ascii="Arial" w:eastAsia="Times New Roman" w:hAnsi="Arial" w:cs="Arial"/>
          <w:color w:val="000000" w:themeColor="text1"/>
          <w:lang w:eastAsia="hr-HR"/>
        </w:rPr>
        <w:t>Rovinja-Rovigno</w:t>
      </w:r>
      <w:r w:rsidRPr="00F60BD6">
        <w:rPr>
          <w:rFonts w:ascii="Arial" w:eastAsia="Times New Roman" w:hAnsi="Arial" w:cs="Arial"/>
          <w:color w:val="000000" w:themeColor="text1"/>
          <w:lang w:eastAsia="hr-HR"/>
        </w:rPr>
        <w:t>. Grad ulaže u snage civilne zaštite, osiguravajući im financijsku pomoć pri nabavci opreme i drugih sredstava za zaštitu i sprečavanje stradanja imovine, gospodarskih funkcija i stradanja stanovništva.</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xml:space="preserve">Grad </w:t>
      </w:r>
      <w:r w:rsidRPr="00465FD1">
        <w:rPr>
          <w:rFonts w:ascii="Arial" w:eastAsia="Times New Roman" w:hAnsi="Arial" w:cs="Arial"/>
          <w:color w:val="000000" w:themeColor="text1"/>
          <w:lang w:eastAsia="hr-HR"/>
        </w:rPr>
        <w:t>Rovinj-Rovigno</w:t>
      </w:r>
      <w:r w:rsidRPr="00F60BD6">
        <w:rPr>
          <w:rFonts w:ascii="Arial" w:eastAsia="Times New Roman" w:hAnsi="Arial" w:cs="Arial"/>
          <w:color w:val="000000" w:themeColor="text1"/>
          <w:lang w:eastAsia="hr-HR"/>
        </w:rPr>
        <w:t xml:space="preserve"> izradio je Plan </w:t>
      </w:r>
      <w:r w:rsidR="00376EBD" w:rsidRPr="00465FD1">
        <w:rPr>
          <w:rFonts w:ascii="Arial" w:eastAsia="Times New Roman" w:hAnsi="Arial" w:cs="Arial"/>
          <w:color w:val="000000" w:themeColor="text1"/>
          <w:lang w:eastAsia="hr-HR"/>
        </w:rPr>
        <w:t>djelovanja civilne zaštite</w:t>
      </w:r>
      <w:r w:rsidRPr="00F60BD6">
        <w:rPr>
          <w:rFonts w:ascii="Arial" w:eastAsia="Times New Roman" w:hAnsi="Arial" w:cs="Arial"/>
          <w:color w:val="000000" w:themeColor="text1"/>
          <w:lang w:eastAsia="hr-HR"/>
        </w:rPr>
        <w:t xml:space="preserve"> radi utvrđivanja organizacije, aktiviranja i djelovanja sustava civilne zaštite, zadaća i nadležnosti, ljudskih snaga i potrebnih materijalno-tehničkih sredstava te mjera i postupaka za provedbu zaštite i spašavanja u katastrofi i velikoj nesreći.</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b/>
          <w:bCs/>
          <w:color w:val="000000" w:themeColor="text1"/>
          <w:lang w:eastAsia="hr-HR"/>
        </w:rPr>
        <w:t> </w:t>
      </w:r>
    </w:p>
    <w:p w:rsidR="00F60BD6" w:rsidRPr="00445AEC" w:rsidRDefault="00F60BD6" w:rsidP="00F60BD6">
      <w:pPr>
        <w:shd w:val="clear" w:color="auto" w:fill="FFFFFF"/>
        <w:spacing w:after="75" w:line="240" w:lineRule="auto"/>
        <w:jc w:val="both"/>
        <w:rPr>
          <w:rFonts w:ascii="Arial" w:eastAsia="Times New Roman" w:hAnsi="Arial" w:cs="Arial"/>
          <w:color w:val="000000" w:themeColor="text1"/>
          <w:u w:val="single"/>
          <w:lang w:eastAsia="hr-HR"/>
        </w:rPr>
      </w:pPr>
      <w:r w:rsidRPr="00445AEC">
        <w:rPr>
          <w:rFonts w:ascii="Arial" w:eastAsia="Times New Roman" w:hAnsi="Arial" w:cs="Arial"/>
          <w:b/>
          <w:bCs/>
          <w:color w:val="000000" w:themeColor="text1"/>
          <w:u w:val="single"/>
          <w:lang w:eastAsia="hr-HR"/>
        </w:rPr>
        <w:t>5.2. Osiguranje sredstava za zaštitu i sprječavanje stradanja imovine, gospodarskih</w:t>
      </w:r>
      <w:r w:rsidR="00376EBD" w:rsidRPr="00445AEC">
        <w:rPr>
          <w:rFonts w:ascii="Arial" w:eastAsia="Times New Roman" w:hAnsi="Arial" w:cs="Arial"/>
          <w:b/>
          <w:bCs/>
          <w:color w:val="000000" w:themeColor="text1"/>
          <w:u w:val="single"/>
          <w:lang w:eastAsia="hr-HR"/>
        </w:rPr>
        <w:t xml:space="preserve"> </w:t>
      </w:r>
      <w:r w:rsidRPr="00445AEC">
        <w:rPr>
          <w:rFonts w:ascii="Arial" w:eastAsia="Times New Roman" w:hAnsi="Arial" w:cs="Arial"/>
          <w:b/>
          <w:bCs/>
          <w:color w:val="000000" w:themeColor="text1"/>
          <w:u w:val="single"/>
          <w:lang w:eastAsia="hr-HR"/>
        </w:rPr>
        <w:t>funkcija i stradanja stanovništva</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b/>
          <w:bCs/>
          <w:color w:val="000000" w:themeColor="text1"/>
          <w:lang w:eastAsia="hr-HR"/>
        </w:rPr>
        <w:t> </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xml:space="preserve">Sukladno članku 56. i 57. Zakona o proračunu („Narodne novine“, broj 87/08, 136/12 i 15/15) sredstva proračunske zalihe mogu se koristiti za nepredviđene namjene za koje u Proračunu Grada </w:t>
      </w:r>
      <w:r w:rsidR="003A1F1E" w:rsidRPr="00465FD1">
        <w:rPr>
          <w:rFonts w:ascii="Arial" w:eastAsia="Times New Roman" w:hAnsi="Arial" w:cs="Arial"/>
          <w:color w:val="000000" w:themeColor="text1"/>
          <w:lang w:eastAsia="hr-HR"/>
        </w:rPr>
        <w:t>Rovinja-Rovigno</w:t>
      </w:r>
      <w:r w:rsidRPr="00F60BD6">
        <w:rPr>
          <w:rFonts w:ascii="Arial" w:eastAsia="Times New Roman" w:hAnsi="Arial" w:cs="Arial"/>
          <w:color w:val="000000" w:themeColor="text1"/>
          <w:lang w:eastAsia="hr-HR"/>
        </w:rPr>
        <w:t xml:space="preserve"> nisu osigurana sredstva ili za namjene za koje se tijekom godine pokaže da nisu utvrđena dovoljna sredstva jer ih pri planiranju Proračuna nije bilo moguće predvidjeti, za financiranje rashoda nastalih pri otklanjanju prirodnih nepogoda, epidemija, ekoloških nesreća ili izvanrednih događaja i ostalih nepredvidivih nesreća te za druge nepredviđene rashode tijekom godine. O korištenju sredstava proračunske zalihe odlučuje Gradonačelnik.</w:t>
      </w:r>
    </w:p>
    <w:p w:rsidR="00F60BD6" w:rsidRPr="00465FD1"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w:t>
      </w:r>
    </w:p>
    <w:p w:rsidR="00465FD1" w:rsidRPr="00F60BD6" w:rsidRDefault="00465FD1" w:rsidP="00F60BD6">
      <w:pPr>
        <w:shd w:val="clear" w:color="auto" w:fill="FFFFFF"/>
        <w:spacing w:after="75" w:line="240" w:lineRule="auto"/>
        <w:jc w:val="both"/>
        <w:rPr>
          <w:rFonts w:ascii="Arial" w:eastAsia="Times New Roman" w:hAnsi="Arial" w:cs="Arial"/>
          <w:color w:val="000000" w:themeColor="text1"/>
          <w:lang w:eastAsia="hr-HR"/>
        </w:rPr>
      </w:pP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b/>
          <w:bCs/>
          <w:color w:val="000000" w:themeColor="text1"/>
          <w:lang w:eastAsia="hr-HR"/>
        </w:rPr>
        <w:t>6. MJERE KOJE UKLJUČUJU SURADNJU S NADLEŽNIM TIJELIMA IZ ZAKONA</w:t>
      </w:r>
      <w:r w:rsidRPr="00F60BD6">
        <w:rPr>
          <w:rFonts w:ascii="Arial" w:eastAsia="Times New Roman" w:hAnsi="Arial" w:cs="Arial"/>
          <w:b/>
          <w:bCs/>
          <w:color w:val="000000" w:themeColor="text1"/>
          <w:lang w:eastAsia="hr-HR"/>
        </w:rPr>
        <w:br/>
        <w:t>     I/ILI DRUGIH TIJELA, ZNANSTVENIH USTANOVA I STRUČNJAKA ZA</w:t>
      </w:r>
      <w:r w:rsidRPr="00F60BD6">
        <w:rPr>
          <w:rFonts w:ascii="Arial" w:eastAsia="Times New Roman" w:hAnsi="Arial" w:cs="Arial"/>
          <w:b/>
          <w:bCs/>
          <w:color w:val="000000" w:themeColor="text1"/>
          <w:lang w:eastAsia="hr-HR"/>
        </w:rPr>
        <w:br/>
        <w:t>     PODRUČJE PRIRODNIH NEPOGODA</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b/>
          <w:bCs/>
          <w:color w:val="000000" w:themeColor="text1"/>
          <w:lang w:eastAsia="hr-HR"/>
        </w:rPr>
        <w:t> </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Suradnja s nadležnim tijelima utvrđenim Zakonom uređena je na način da su nadležna tijela zadužena za određene poslove i mjere.</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xml:space="preserve">Kao mjere koje uključuju suradnju s nadležnim tijelima u području prirodnih nepogoda smatraju se provedba postupka utvrđivanja i procjene štete uslijed prirodnih nepogoda te </w:t>
      </w:r>
      <w:r w:rsidR="00465FD1" w:rsidRPr="00465FD1">
        <w:rPr>
          <w:rFonts w:ascii="Arial" w:eastAsia="Times New Roman" w:hAnsi="Arial" w:cs="Arial"/>
          <w:color w:val="000000" w:themeColor="text1"/>
          <w:lang w:eastAsia="hr-HR"/>
        </w:rPr>
        <w:lastRenderedPageBreak/>
        <w:t>dodjeljivanje</w:t>
      </w:r>
      <w:r w:rsidRPr="00F60BD6">
        <w:rPr>
          <w:rFonts w:ascii="Arial" w:eastAsia="Times New Roman" w:hAnsi="Arial" w:cs="Arial"/>
          <w:color w:val="000000" w:themeColor="text1"/>
          <w:lang w:eastAsia="hr-HR"/>
        </w:rPr>
        <w:t xml:space="preserve"> pomoći za ublažavanje i djelomično uklanjanje šteta i provedba postupka dodjele žurne pomoći u svrhu djelomične sanacije štete uslijed prirodne nepogode.</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Gradsko povjerenstvo ostvaruje suradnju sa Županijskim povjerenstvom te s istim usklađuje sve potrebne mjere i postupke oko provođenja ovoga Plana.</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xml:space="preserve">U slučaju eventualnih zahtjeva drugih državnih tijela, stručnih i znanstvenih ustanova i stručnjaka za područje prirodnih nepogoda, Grad </w:t>
      </w:r>
      <w:r w:rsidRPr="00465FD1">
        <w:rPr>
          <w:rFonts w:ascii="Arial" w:eastAsia="Times New Roman" w:hAnsi="Arial" w:cs="Arial"/>
          <w:color w:val="000000" w:themeColor="text1"/>
          <w:lang w:eastAsia="hr-HR"/>
        </w:rPr>
        <w:t>Rovinj-Rovigno</w:t>
      </w:r>
      <w:r w:rsidRPr="00F60BD6">
        <w:rPr>
          <w:rFonts w:ascii="Arial" w:eastAsia="Times New Roman" w:hAnsi="Arial" w:cs="Arial"/>
          <w:color w:val="000000" w:themeColor="text1"/>
          <w:lang w:eastAsia="hr-HR"/>
        </w:rPr>
        <w:t xml:space="preserve"> i Gradsko povjerenstvo ustupit će sve podatke i dostupne informacije te poduzeti sve potrebne radnje.</w:t>
      </w:r>
    </w:p>
    <w:p w:rsidR="00F60BD6" w:rsidRPr="00F60BD6" w:rsidRDefault="00F60BD6" w:rsidP="00F60BD6">
      <w:pPr>
        <w:shd w:val="clear" w:color="auto" w:fill="FFFFFF"/>
        <w:spacing w:after="75" w:line="240" w:lineRule="auto"/>
        <w:jc w:val="both"/>
        <w:rPr>
          <w:rFonts w:ascii="Arial" w:eastAsia="Times New Roman" w:hAnsi="Arial" w:cs="Arial"/>
          <w:color w:val="000000" w:themeColor="text1"/>
          <w:lang w:eastAsia="hr-HR"/>
        </w:rPr>
      </w:pPr>
      <w:r w:rsidRPr="00F60BD6">
        <w:rPr>
          <w:rFonts w:ascii="Arial" w:eastAsia="Times New Roman" w:hAnsi="Arial" w:cs="Arial"/>
          <w:color w:val="000000" w:themeColor="text1"/>
          <w:lang w:eastAsia="hr-HR"/>
        </w:rPr>
        <w:t> </w:t>
      </w:r>
    </w:p>
    <w:p w:rsidR="00F60BD6" w:rsidRDefault="00F60BD6" w:rsidP="00F60BD6">
      <w:pPr>
        <w:shd w:val="clear" w:color="auto" w:fill="FFFFFF"/>
        <w:spacing w:after="75" w:line="240" w:lineRule="auto"/>
        <w:jc w:val="both"/>
        <w:rPr>
          <w:rFonts w:ascii="Arial" w:eastAsia="Times New Roman" w:hAnsi="Arial" w:cs="Arial"/>
          <w:color w:val="000000"/>
          <w:lang w:eastAsia="hr-HR"/>
        </w:rPr>
      </w:pPr>
      <w:r w:rsidRPr="00F60BD6">
        <w:rPr>
          <w:rFonts w:ascii="Arial" w:eastAsia="Times New Roman" w:hAnsi="Arial" w:cs="Arial"/>
          <w:color w:val="000000"/>
          <w:lang w:eastAsia="hr-HR"/>
        </w:rPr>
        <w:t> </w:t>
      </w:r>
    </w:p>
    <w:p w:rsidR="00445AEC" w:rsidRPr="00F60BD6" w:rsidRDefault="00445AEC" w:rsidP="00F60BD6">
      <w:pPr>
        <w:shd w:val="clear" w:color="auto" w:fill="FFFFFF"/>
        <w:spacing w:after="75" w:line="240" w:lineRule="auto"/>
        <w:jc w:val="both"/>
        <w:rPr>
          <w:rFonts w:ascii="Arial" w:eastAsia="Times New Roman" w:hAnsi="Arial" w:cs="Arial"/>
          <w:color w:val="333333"/>
          <w:lang w:eastAsia="hr-HR"/>
        </w:rPr>
      </w:pPr>
    </w:p>
    <w:p w:rsidR="00B37724" w:rsidRPr="003D27A0" w:rsidRDefault="00B37724" w:rsidP="00B37724">
      <w:pPr>
        <w:spacing w:after="0" w:line="240" w:lineRule="auto"/>
        <w:jc w:val="both"/>
        <w:rPr>
          <w:rFonts w:ascii="Arial" w:eastAsia="Calibri" w:hAnsi="Arial" w:cs="Arial"/>
          <w:color w:val="000000" w:themeColor="text1"/>
          <w:highlight w:val="cyan"/>
          <w:lang w:eastAsia="hr-HR"/>
        </w:rPr>
      </w:pPr>
      <w:r w:rsidRPr="00445AEC">
        <w:rPr>
          <w:rFonts w:ascii="Arial" w:eastAsia="Calibri" w:hAnsi="Arial" w:cs="Arial"/>
          <w:color w:val="000000" w:themeColor="text1"/>
          <w:lang w:eastAsia="hr-HR"/>
        </w:rPr>
        <w:t xml:space="preserve">KLASA / CLASSE: </w:t>
      </w:r>
      <w:r w:rsidR="00445AEC" w:rsidRPr="00445AEC">
        <w:rPr>
          <w:rFonts w:ascii="Arial" w:hAnsi="Arial" w:cs="Arial"/>
          <w:color w:val="000000" w:themeColor="text1"/>
          <w:sz w:val="24"/>
          <w:szCs w:val="24"/>
        </w:rPr>
        <w:t xml:space="preserve">: </w:t>
      </w:r>
      <w:r w:rsidR="003D27A0" w:rsidRPr="003D27A0">
        <w:rPr>
          <w:rFonts w:ascii="Arial" w:hAnsi="Arial"/>
          <w:color w:val="000000" w:themeColor="text1"/>
        </w:rPr>
        <w:t>240-01/2</w:t>
      </w:r>
      <w:r w:rsidR="00AE143C">
        <w:rPr>
          <w:rFonts w:ascii="Arial" w:hAnsi="Arial"/>
          <w:color w:val="000000" w:themeColor="text1"/>
        </w:rPr>
        <w:t>3</w:t>
      </w:r>
      <w:r w:rsidR="003D27A0" w:rsidRPr="003D27A0">
        <w:rPr>
          <w:rFonts w:ascii="Arial" w:hAnsi="Arial"/>
          <w:color w:val="000000" w:themeColor="text1"/>
        </w:rPr>
        <w:t>-01/2</w:t>
      </w:r>
      <w:r w:rsidR="00AE143C">
        <w:rPr>
          <w:rFonts w:ascii="Arial" w:hAnsi="Arial"/>
          <w:color w:val="000000" w:themeColor="text1"/>
        </w:rPr>
        <w:t>8</w:t>
      </w:r>
    </w:p>
    <w:p w:rsidR="00B37724" w:rsidRPr="00445AEC" w:rsidRDefault="00B37724" w:rsidP="00B37724">
      <w:pPr>
        <w:spacing w:after="0" w:line="240" w:lineRule="auto"/>
        <w:rPr>
          <w:rFonts w:ascii="Arial" w:eastAsia="Calibri" w:hAnsi="Arial" w:cs="Arial"/>
          <w:color w:val="000000" w:themeColor="text1"/>
          <w:lang w:eastAsia="hr-HR"/>
        </w:rPr>
      </w:pPr>
      <w:r w:rsidRPr="00445AEC">
        <w:rPr>
          <w:rFonts w:ascii="Arial" w:eastAsia="Calibri" w:hAnsi="Arial" w:cs="Arial"/>
          <w:color w:val="000000" w:themeColor="text1"/>
          <w:lang w:eastAsia="hr-HR"/>
        </w:rPr>
        <w:t xml:space="preserve">URBROJ / NUMPROT: </w:t>
      </w:r>
      <w:r w:rsidR="00B05DF3">
        <w:rPr>
          <w:rFonts w:ascii="Arial" w:eastAsia="Calibri" w:hAnsi="Arial" w:cs="Arial"/>
          <w:color w:val="000000" w:themeColor="text1"/>
          <w:lang w:eastAsia="hr-HR"/>
        </w:rPr>
        <w:t>2163</w:t>
      </w:r>
      <w:r w:rsidR="00AE5548">
        <w:rPr>
          <w:rFonts w:ascii="Arial" w:eastAsia="Calibri" w:hAnsi="Arial" w:cs="Arial"/>
          <w:color w:val="000000" w:themeColor="text1"/>
          <w:lang w:eastAsia="hr-HR"/>
        </w:rPr>
        <w:t>-8-</w:t>
      </w:r>
      <w:r w:rsidR="00445AEC" w:rsidRPr="00445AEC">
        <w:rPr>
          <w:rFonts w:ascii="Arial" w:eastAsia="Calibri" w:hAnsi="Arial" w:cs="Arial"/>
          <w:color w:val="000000" w:themeColor="text1"/>
          <w:lang w:eastAsia="hr-HR"/>
        </w:rPr>
        <w:t>01/1-</w:t>
      </w:r>
      <w:r w:rsidR="00B05DF3">
        <w:rPr>
          <w:rFonts w:ascii="Arial" w:eastAsia="Calibri" w:hAnsi="Arial" w:cs="Arial"/>
          <w:color w:val="000000" w:themeColor="text1"/>
          <w:lang w:eastAsia="hr-HR"/>
        </w:rPr>
        <w:t>22-</w:t>
      </w:r>
      <w:r w:rsidR="00445AEC" w:rsidRPr="00445AEC">
        <w:rPr>
          <w:rFonts w:ascii="Arial" w:eastAsia="Calibri" w:hAnsi="Arial" w:cs="Arial"/>
          <w:color w:val="000000" w:themeColor="text1"/>
          <w:lang w:eastAsia="hr-HR"/>
        </w:rPr>
        <w:t>04</w:t>
      </w:r>
    </w:p>
    <w:p w:rsidR="00B37724" w:rsidRDefault="00B37724" w:rsidP="00B37724">
      <w:pPr>
        <w:spacing w:after="0" w:line="274" w:lineRule="auto"/>
        <w:jc w:val="both"/>
        <w:rPr>
          <w:rFonts w:ascii="Arial" w:eastAsia="Calibri" w:hAnsi="Arial" w:cs="Arial"/>
          <w:color w:val="000000" w:themeColor="text1"/>
          <w:lang w:eastAsia="hr-HR"/>
        </w:rPr>
      </w:pPr>
      <w:r w:rsidRPr="00445AEC">
        <w:rPr>
          <w:rFonts w:ascii="Arial" w:eastAsia="Calibri" w:hAnsi="Arial" w:cs="Arial"/>
          <w:color w:val="000000" w:themeColor="text1"/>
          <w:lang w:eastAsia="hr-HR"/>
        </w:rPr>
        <w:t>Rovinj – Rovigno,</w:t>
      </w:r>
    </w:p>
    <w:p w:rsidR="00445AEC" w:rsidRDefault="00445AEC" w:rsidP="00B37724">
      <w:pPr>
        <w:spacing w:after="0" w:line="274" w:lineRule="auto"/>
        <w:jc w:val="both"/>
        <w:rPr>
          <w:rFonts w:ascii="Arial" w:eastAsia="Calibri" w:hAnsi="Arial" w:cs="Arial"/>
          <w:color w:val="000000" w:themeColor="text1"/>
          <w:lang w:eastAsia="hr-HR"/>
        </w:rPr>
      </w:pPr>
    </w:p>
    <w:p w:rsidR="00445AEC" w:rsidRPr="00445AEC" w:rsidRDefault="00445AEC" w:rsidP="00B37724">
      <w:pPr>
        <w:spacing w:after="0" w:line="274" w:lineRule="auto"/>
        <w:jc w:val="both"/>
        <w:rPr>
          <w:rFonts w:ascii="Arial" w:eastAsia="Calibri" w:hAnsi="Arial" w:cs="Arial"/>
          <w:color w:val="000000" w:themeColor="text1"/>
          <w:lang w:eastAsia="hr-HR"/>
        </w:rPr>
      </w:pPr>
    </w:p>
    <w:p w:rsidR="00B37724" w:rsidRPr="00445AEC" w:rsidRDefault="00B37724" w:rsidP="00B37724">
      <w:pPr>
        <w:spacing w:after="0" w:line="240" w:lineRule="auto"/>
        <w:rPr>
          <w:rFonts w:ascii="Arial" w:eastAsia="Calibri" w:hAnsi="Arial" w:cs="Arial"/>
          <w:color w:val="000000" w:themeColor="text1"/>
          <w:lang w:eastAsia="hr-HR"/>
        </w:rPr>
      </w:pPr>
      <w:r w:rsidRPr="00445AEC">
        <w:rPr>
          <w:rFonts w:ascii="Arial" w:eastAsia="Calibri" w:hAnsi="Arial" w:cs="Arial"/>
          <w:color w:val="000000" w:themeColor="text1"/>
          <w:lang w:eastAsia="hr-HR"/>
        </w:rPr>
        <w:tab/>
      </w:r>
      <w:r w:rsidRPr="00445AEC">
        <w:rPr>
          <w:rFonts w:ascii="Arial" w:eastAsia="Calibri" w:hAnsi="Arial" w:cs="Arial"/>
          <w:color w:val="000000" w:themeColor="text1"/>
          <w:lang w:eastAsia="hr-HR"/>
        </w:rPr>
        <w:tab/>
      </w:r>
      <w:r w:rsidRPr="00445AEC">
        <w:rPr>
          <w:rFonts w:ascii="Arial" w:eastAsia="Calibri" w:hAnsi="Arial" w:cs="Arial"/>
          <w:color w:val="000000" w:themeColor="text1"/>
          <w:lang w:eastAsia="hr-HR"/>
        </w:rPr>
        <w:tab/>
      </w:r>
      <w:r w:rsidRPr="00445AEC">
        <w:rPr>
          <w:rFonts w:ascii="Arial" w:eastAsia="Calibri" w:hAnsi="Arial" w:cs="Arial"/>
          <w:color w:val="000000" w:themeColor="text1"/>
          <w:lang w:eastAsia="hr-HR"/>
        </w:rPr>
        <w:tab/>
      </w:r>
    </w:p>
    <w:p w:rsidR="00B37724" w:rsidRPr="00445AEC" w:rsidRDefault="00B37724" w:rsidP="00B37724">
      <w:pPr>
        <w:spacing w:after="0" w:line="240" w:lineRule="auto"/>
        <w:jc w:val="center"/>
        <w:rPr>
          <w:rFonts w:ascii="Arial" w:eastAsia="Calibri" w:hAnsi="Arial" w:cs="Arial"/>
          <w:color w:val="000000" w:themeColor="text1"/>
          <w:lang w:eastAsia="hr-HR"/>
        </w:rPr>
      </w:pPr>
      <w:r w:rsidRPr="00445AEC">
        <w:rPr>
          <w:rFonts w:ascii="Arial" w:eastAsia="Calibri" w:hAnsi="Arial" w:cs="Arial"/>
          <w:color w:val="000000" w:themeColor="text1"/>
          <w:lang w:eastAsia="hr-HR"/>
        </w:rPr>
        <w:t xml:space="preserve"> </w:t>
      </w:r>
      <w:r w:rsidRPr="00445AEC">
        <w:rPr>
          <w:rFonts w:ascii="Arial" w:eastAsia="Calibri" w:hAnsi="Arial" w:cs="Arial"/>
          <w:color w:val="000000" w:themeColor="text1"/>
          <w:lang w:eastAsia="hr-HR"/>
        </w:rPr>
        <w:tab/>
      </w:r>
      <w:r w:rsidRPr="00445AEC">
        <w:rPr>
          <w:rFonts w:ascii="Arial" w:eastAsia="Calibri" w:hAnsi="Arial" w:cs="Arial"/>
          <w:color w:val="000000" w:themeColor="text1"/>
          <w:lang w:eastAsia="hr-HR"/>
        </w:rPr>
        <w:tab/>
      </w:r>
      <w:r w:rsidRPr="00445AEC">
        <w:rPr>
          <w:rFonts w:ascii="Arial" w:eastAsia="Calibri" w:hAnsi="Arial" w:cs="Arial"/>
          <w:color w:val="000000" w:themeColor="text1"/>
          <w:lang w:eastAsia="hr-HR"/>
        </w:rPr>
        <w:tab/>
      </w:r>
      <w:r w:rsidRPr="00445AEC">
        <w:rPr>
          <w:rFonts w:ascii="Arial" w:eastAsia="Calibri" w:hAnsi="Arial" w:cs="Arial"/>
          <w:color w:val="000000" w:themeColor="text1"/>
          <w:lang w:eastAsia="hr-HR"/>
        </w:rPr>
        <w:tab/>
      </w:r>
      <w:r w:rsidRPr="00445AEC">
        <w:rPr>
          <w:rFonts w:ascii="Arial" w:eastAsia="Calibri" w:hAnsi="Arial" w:cs="Arial"/>
          <w:color w:val="000000" w:themeColor="text1"/>
          <w:lang w:eastAsia="hr-HR"/>
        </w:rPr>
        <w:tab/>
      </w:r>
      <w:r w:rsidRPr="00445AEC">
        <w:rPr>
          <w:rFonts w:ascii="Arial" w:eastAsia="Calibri" w:hAnsi="Arial" w:cs="Arial"/>
          <w:color w:val="000000" w:themeColor="text1"/>
          <w:lang w:eastAsia="hr-HR"/>
        </w:rPr>
        <w:tab/>
      </w:r>
      <w:r w:rsidRPr="00445AEC">
        <w:rPr>
          <w:rFonts w:ascii="Arial" w:eastAsia="Calibri" w:hAnsi="Arial" w:cs="Arial"/>
          <w:color w:val="000000" w:themeColor="text1"/>
          <w:lang w:eastAsia="hr-HR"/>
        </w:rPr>
        <w:tab/>
        <w:t xml:space="preserve"> Predsjednik Gradskog vijeća</w:t>
      </w:r>
    </w:p>
    <w:p w:rsidR="00B37724" w:rsidRPr="00445AEC" w:rsidRDefault="00B37724" w:rsidP="00B37724">
      <w:pPr>
        <w:spacing w:after="0" w:line="240" w:lineRule="auto"/>
        <w:ind w:left="4320" w:firstLine="720"/>
        <w:jc w:val="center"/>
        <w:rPr>
          <w:rFonts w:ascii="Arial" w:eastAsia="Calibri" w:hAnsi="Arial" w:cs="Arial"/>
          <w:color w:val="000000" w:themeColor="text1"/>
          <w:lang w:eastAsia="hr-HR"/>
        </w:rPr>
      </w:pPr>
    </w:p>
    <w:p w:rsidR="00B37724" w:rsidRPr="00445AEC" w:rsidRDefault="001B62C9" w:rsidP="00B37724">
      <w:pPr>
        <w:spacing w:after="0" w:line="240" w:lineRule="auto"/>
        <w:rPr>
          <w:rFonts w:ascii="Arial" w:eastAsia="Calibri" w:hAnsi="Arial" w:cs="Arial"/>
          <w:color w:val="000000" w:themeColor="text1"/>
          <w:lang w:eastAsia="hr-HR"/>
        </w:rPr>
      </w:pPr>
      <w:r w:rsidRPr="00445AEC">
        <w:rPr>
          <w:rFonts w:ascii="Arial" w:eastAsia="Calibri" w:hAnsi="Arial" w:cs="Arial"/>
          <w:color w:val="000000" w:themeColor="text1"/>
          <w:lang w:eastAsia="hr-HR"/>
        </w:rPr>
        <w:tab/>
      </w:r>
      <w:r w:rsidRPr="00445AEC">
        <w:rPr>
          <w:rFonts w:ascii="Arial" w:eastAsia="Calibri" w:hAnsi="Arial" w:cs="Arial"/>
          <w:color w:val="000000" w:themeColor="text1"/>
          <w:lang w:eastAsia="hr-HR"/>
        </w:rPr>
        <w:tab/>
      </w:r>
      <w:r w:rsidRPr="00445AEC">
        <w:rPr>
          <w:rFonts w:ascii="Arial" w:eastAsia="Calibri" w:hAnsi="Arial" w:cs="Arial"/>
          <w:color w:val="000000" w:themeColor="text1"/>
          <w:lang w:eastAsia="hr-HR"/>
        </w:rPr>
        <w:tab/>
      </w:r>
      <w:r w:rsidRPr="00445AEC">
        <w:rPr>
          <w:rFonts w:ascii="Arial" w:eastAsia="Calibri" w:hAnsi="Arial" w:cs="Arial"/>
          <w:color w:val="000000" w:themeColor="text1"/>
          <w:lang w:eastAsia="hr-HR"/>
        </w:rPr>
        <w:tab/>
      </w:r>
      <w:r w:rsidRPr="00445AEC">
        <w:rPr>
          <w:rFonts w:ascii="Arial" w:eastAsia="Calibri" w:hAnsi="Arial" w:cs="Arial"/>
          <w:color w:val="000000" w:themeColor="text1"/>
          <w:lang w:eastAsia="hr-HR"/>
        </w:rPr>
        <w:tab/>
      </w:r>
      <w:r w:rsidRPr="00445AEC">
        <w:rPr>
          <w:rFonts w:ascii="Arial" w:eastAsia="Calibri" w:hAnsi="Arial" w:cs="Arial"/>
          <w:color w:val="000000" w:themeColor="text1"/>
          <w:lang w:eastAsia="hr-HR"/>
        </w:rPr>
        <w:tab/>
      </w:r>
      <w:r w:rsidRPr="00445AEC">
        <w:rPr>
          <w:rFonts w:ascii="Arial" w:eastAsia="Calibri" w:hAnsi="Arial" w:cs="Arial"/>
          <w:color w:val="000000" w:themeColor="text1"/>
          <w:lang w:eastAsia="hr-HR"/>
        </w:rPr>
        <w:tab/>
      </w:r>
      <w:r w:rsidRPr="00445AEC">
        <w:rPr>
          <w:rFonts w:ascii="Arial" w:eastAsia="Calibri" w:hAnsi="Arial" w:cs="Arial"/>
          <w:color w:val="000000" w:themeColor="text1"/>
          <w:lang w:eastAsia="hr-HR"/>
        </w:rPr>
        <w:tab/>
      </w:r>
      <w:r w:rsidRPr="00445AEC">
        <w:rPr>
          <w:rFonts w:ascii="Arial" w:eastAsia="Calibri" w:hAnsi="Arial" w:cs="Arial"/>
          <w:color w:val="000000" w:themeColor="text1"/>
          <w:lang w:eastAsia="hr-HR"/>
        </w:rPr>
        <w:tab/>
        <w:t xml:space="preserve">Emil </w:t>
      </w:r>
      <w:proofErr w:type="spellStart"/>
      <w:r w:rsidRPr="00445AEC">
        <w:rPr>
          <w:rFonts w:ascii="Arial" w:eastAsia="Calibri" w:hAnsi="Arial" w:cs="Arial"/>
          <w:color w:val="000000" w:themeColor="text1"/>
          <w:lang w:eastAsia="hr-HR"/>
        </w:rPr>
        <w:t>Nimčević</w:t>
      </w:r>
      <w:proofErr w:type="spellEnd"/>
    </w:p>
    <w:p w:rsidR="002A159B" w:rsidRPr="00445AEC" w:rsidRDefault="002A159B">
      <w:pPr>
        <w:rPr>
          <w:rFonts w:ascii="Arial" w:hAnsi="Arial" w:cs="Arial"/>
          <w:color w:val="000000" w:themeColor="text1"/>
        </w:rPr>
      </w:pPr>
    </w:p>
    <w:sectPr w:rsidR="002A159B" w:rsidRPr="00445AEC" w:rsidSect="008817E9">
      <w:footerReference w:type="default" r:id="rId7"/>
      <w:pgSz w:w="11906" w:h="16838" w:code="9"/>
      <w:pgMar w:top="1418" w:right="1418"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DA6" w:rsidRDefault="00556DA6" w:rsidP="00445AEC">
      <w:pPr>
        <w:spacing w:after="0" w:line="240" w:lineRule="auto"/>
      </w:pPr>
      <w:r>
        <w:separator/>
      </w:r>
    </w:p>
  </w:endnote>
  <w:endnote w:type="continuationSeparator" w:id="0">
    <w:p w:rsidR="00556DA6" w:rsidRDefault="00556DA6" w:rsidP="00445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AEC" w:rsidRDefault="00445AE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DA6" w:rsidRDefault="00556DA6" w:rsidP="00445AEC">
      <w:pPr>
        <w:spacing w:after="0" w:line="240" w:lineRule="auto"/>
      </w:pPr>
      <w:r>
        <w:separator/>
      </w:r>
    </w:p>
  </w:footnote>
  <w:footnote w:type="continuationSeparator" w:id="0">
    <w:p w:rsidR="00556DA6" w:rsidRDefault="00556DA6" w:rsidP="00445A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56514A"/>
    <w:multiLevelType w:val="multilevel"/>
    <w:tmpl w:val="7A069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BD6"/>
    <w:rsid w:val="000662ED"/>
    <w:rsid w:val="00103F8F"/>
    <w:rsid w:val="001B62C9"/>
    <w:rsid w:val="002A159B"/>
    <w:rsid w:val="00376EBD"/>
    <w:rsid w:val="003A1F1E"/>
    <w:rsid w:val="003D27A0"/>
    <w:rsid w:val="00445AEC"/>
    <w:rsid w:val="00465FD1"/>
    <w:rsid w:val="00556DA6"/>
    <w:rsid w:val="0078165E"/>
    <w:rsid w:val="007C7445"/>
    <w:rsid w:val="0084461C"/>
    <w:rsid w:val="008817E9"/>
    <w:rsid w:val="009D5232"/>
    <w:rsid w:val="00AE143C"/>
    <w:rsid w:val="00AE5548"/>
    <w:rsid w:val="00B05DF3"/>
    <w:rsid w:val="00B1371E"/>
    <w:rsid w:val="00B37724"/>
    <w:rsid w:val="00B5101C"/>
    <w:rsid w:val="00B9334B"/>
    <w:rsid w:val="00BE7837"/>
    <w:rsid w:val="00CB30B0"/>
    <w:rsid w:val="00F60B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8939A4-7826-4A82-9987-C4C958272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45AE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45AEC"/>
  </w:style>
  <w:style w:type="paragraph" w:styleId="Podnoje">
    <w:name w:val="footer"/>
    <w:basedOn w:val="Normal"/>
    <w:link w:val="PodnojeChar"/>
    <w:uiPriority w:val="99"/>
    <w:unhideWhenUsed/>
    <w:rsid w:val="00445AE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45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47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2778</Words>
  <Characters>15836</Characters>
  <Application>Microsoft Office Word</Application>
  <DocSecurity>0</DocSecurity>
  <Lines>131</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Ikrajcak</dc:creator>
  <cp:lastModifiedBy>Sanja2</cp:lastModifiedBy>
  <cp:revision>2</cp:revision>
  <cp:lastPrinted>2022-09-19T08:27:00Z</cp:lastPrinted>
  <dcterms:created xsi:type="dcterms:W3CDTF">2023-11-08T09:55:00Z</dcterms:created>
  <dcterms:modified xsi:type="dcterms:W3CDTF">2023-11-08T09:55:00Z</dcterms:modified>
</cp:coreProperties>
</file>